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1300" w14:textId="77777777" w:rsidR="00E53CCB" w:rsidRDefault="00E53CCB" w:rsidP="00E53CCB">
      <w:pPr>
        <w:jc w:val="center"/>
        <w:rPr>
          <w:b/>
          <w:sz w:val="36"/>
          <w:szCs w:val="36"/>
        </w:rPr>
      </w:pPr>
      <w:bookmarkStart w:id="0" w:name="_GoBack"/>
      <w:bookmarkEnd w:id="0"/>
      <w:r>
        <w:rPr>
          <w:b/>
          <w:sz w:val="36"/>
          <w:szCs w:val="36"/>
        </w:rPr>
        <w:t xml:space="preserve">The Ethical Use of </w:t>
      </w:r>
      <w:r w:rsidR="00C27CF5">
        <w:rPr>
          <w:b/>
          <w:sz w:val="36"/>
          <w:szCs w:val="36"/>
        </w:rPr>
        <w:t xml:space="preserve">Student </w:t>
      </w:r>
      <w:r>
        <w:rPr>
          <w:b/>
          <w:sz w:val="36"/>
          <w:szCs w:val="36"/>
        </w:rPr>
        <w:t>Data and Analytics</w:t>
      </w:r>
    </w:p>
    <w:p w14:paraId="70FB91A2" w14:textId="77777777" w:rsidR="00E53CCB" w:rsidRDefault="00E53CCB" w:rsidP="00E53CCB">
      <w:pPr>
        <w:jc w:val="center"/>
        <w:rPr>
          <w:b/>
          <w:sz w:val="36"/>
          <w:szCs w:val="36"/>
        </w:rPr>
      </w:pPr>
    </w:p>
    <w:p w14:paraId="7E0EDB40" w14:textId="77777777" w:rsidR="0059278E" w:rsidRPr="00E53CCB" w:rsidRDefault="00A61DBA" w:rsidP="00E53CCB">
      <w:pPr>
        <w:jc w:val="center"/>
        <w:rPr>
          <w:b/>
          <w:sz w:val="28"/>
          <w:szCs w:val="28"/>
        </w:rPr>
      </w:pPr>
      <w:r>
        <w:rPr>
          <w:b/>
          <w:sz w:val="28"/>
          <w:szCs w:val="28"/>
        </w:rPr>
        <w:t xml:space="preserve">The </w:t>
      </w:r>
      <w:r w:rsidR="00E53CCB" w:rsidRPr="00E53CCB">
        <w:rPr>
          <w:b/>
          <w:sz w:val="28"/>
          <w:szCs w:val="28"/>
        </w:rPr>
        <w:t>Reinvention Center</w:t>
      </w:r>
    </w:p>
    <w:p w14:paraId="1AFE30A5" w14:textId="77777777" w:rsidR="00E53CCB" w:rsidRDefault="00E53CCB" w:rsidP="00E53CCB">
      <w:pPr>
        <w:jc w:val="center"/>
        <w:rPr>
          <w:b/>
          <w:sz w:val="28"/>
          <w:szCs w:val="28"/>
        </w:rPr>
      </w:pPr>
      <w:r w:rsidRPr="00E53CCB">
        <w:rPr>
          <w:b/>
          <w:sz w:val="28"/>
          <w:szCs w:val="28"/>
        </w:rPr>
        <w:t>Student Success/Learning Analytics Specialized Network</w:t>
      </w:r>
    </w:p>
    <w:p w14:paraId="249CF04D" w14:textId="77777777" w:rsidR="00005C97" w:rsidRPr="00005C97" w:rsidRDefault="00005C97" w:rsidP="00E53CCB">
      <w:pPr>
        <w:jc w:val="center"/>
        <w:rPr>
          <w:b/>
          <w:sz w:val="24"/>
          <w:szCs w:val="24"/>
        </w:rPr>
      </w:pPr>
    </w:p>
    <w:p w14:paraId="33BB82F4" w14:textId="77777777" w:rsidR="00005C97" w:rsidRPr="00005C97" w:rsidRDefault="00005C97" w:rsidP="00E53CCB">
      <w:pPr>
        <w:jc w:val="center"/>
        <w:rPr>
          <w:b/>
          <w:sz w:val="24"/>
          <w:szCs w:val="24"/>
        </w:rPr>
      </w:pPr>
      <w:r w:rsidRPr="00005C97">
        <w:rPr>
          <w:b/>
          <w:sz w:val="24"/>
          <w:szCs w:val="24"/>
        </w:rPr>
        <w:t>Laura Jensen PhD, Colorado State</w:t>
      </w:r>
    </w:p>
    <w:p w14:paraId="3B9BA155" w14:textId="77777777" w:rsidR="00005C97" w:rsidRPr="00005C97" w:rsidRDefault="00005C97" w:rsidP="00E53CCB">
      <w:pPr>
        <w:jc w:val="center"/>
        <w:rPr>
          <w:b/>
          <w:sz w:val="24"/>
          <w:szCs w:val="24"/>
        </w:rPr>
      </w:pPr>
      <w:r w:rsidRPr="00005C97">
        <w:rPr>
          <w:b/>
          <w:sz w:val="24"/>
          <w:szCs w:val="24"/>
        </w:rPr>
        <w:t>Vanessa Roof PhD, University of Nebraska - Lincoln</w:t>
      </w:r>
    </w:p>
    <w:p w14:paraId="5C8919C9" w14:textId="77777777" w:rsidR="00E53CCB" w:rsidRPr="00E53CCB" w:rsidRDefault="00E53CCB" w:rsidP="00E53CCB">
      <w:pPr>
        <w:jc w:val="center"/>
        <w:rPr>
          <w:b/>
          <w:sz w:val="36"/>
          <w:szCs w:val="36"/>
        </w:rPr>
      </w:pPr>
    </w:p>
    <w:p w14:paraId="12AF210B" w14:textId="4E675BC2" w:rsidR="00761F17" w:rsidRDefault="00962832" w:rsidP="003C3003">
      <w:pPr>
        <w:jc w:val="both"/>
      </w:pPr>
      <w:r w:rsidRPr="00962832">
        <w:t>A rapidly growing trend among higher education institutions is to increase the abundance and availability of student data.</w:t>
      </w:r>
      <w:r>
        <w:t xml:space="preserve">  </w:t>
      </w:r>
      <w:r w:rsidR="00141974">
        <w:t xml:space="preserve">Included are </w:t>
      </w:r>
      <w:r w:rsidR="00262933">
        <w:t xml:space="preserve">demographic, </w:t>
      </w:r>
      <w:r w:rsidR="00C27CF5">
        <w:t>family of origin</w:t>
      </w:r>
      <w:r w:rsidR="00262933">
        <w:t xml:space="preserve">, postsecondary readiness, academic performance, </w:t>
      </w:r>
      <w:r w:rsidR="006E3CEA">
        <w:t xml:space="preserve">course pedagogy, curriculum design, digital objects, </w:t>
      </w:r>
      <w:r w:rsidR="00262933">
        <w:t xml:space="preserve">and a host of other factors </w:t>
      </w:r>
      <w:r w:rsidR="000959B4">
        <w:t xml:space="preserve">that can provide insight into the individual, their environment, </w:t>
      </w:r>
      <w:r w:rsidR="006972DD">
        <w:t>and</w:t>
      </w:r>
      <w:r w:rsidR="000959B4">
        <w:t xml:space="preserve"> </w:t>
      </w:r>
      <w:r w:rsidR="006E3CEA">
        <w:t>the related interactions</w:t>
      </w:r>
      <w:r w:rsidR="000959B4">
        <w:t xml:space="preserve">. </w:t>
      </w:r>
      <w:r w:rsidR="0048604C">
        <w:t xml:space="preserve"> </w:t>
      </w:r>
      <w:r w:rsidR="00141974">
        <w:t>I</w:t>
      </w:r>
      <w:r w:rsidR="00C27CF5">
        <w:t xml:space="preserve">nstitutions </w:t>
      </w:r>
      <w:r w:rsidR="006E3CEA">
        <w:t>maintain</w:t>
      </w:r>
      <w:r w:rsidR="00C27CF5">
        <w:t xml:space="preserve"> </w:t>
      </w:r>
      <w:r w:rsidR="0048604C">
        <w:t>data from Admissions, Student Financial Aid, Business and Financial Services, Academic Affairs, Student Affairs</w:t>
      </w:r>
      <w:r w:rsidR="00141974">
        <w:t>, and Career Services</w:t>
      </w:r>
      <w:r w:rsidR="008936E1">
        <w:t>.  In large</w:t>
      </w:r>
      <w:r w:rsidR="002C53E2">
        <w:t xml:space="preserve"> part</w:t>
      </w:r>
      <w:r w:rsidR="008936E1">
        <w:t>, t</w:t>
      </w:r>
      <w:r w:rsidR="0048604C">
        <w:t>hanks to card</w:t>
      </w:r>
      <w:r w:rsidR="00D07706">
        <w:t xml:space="preserve"> swipe</w:t>
      </w:r>
      <w:r w:rsidR="001D0431">
        <w:t xml:space="preserve"> and learning management</w:t>
      </w:r>
      <w:r w:rsidR="0048604C">
        <w:t xml:space="preserve"> systems, </w:t>
      </w:r>
      <w:r w:rsidR="006E3CEA">
        <w:t xml:space="preserve">some </w:t>
      </w:r>
      <w:r w:rsidR="00C27CF5">
        <w:t xml:space="preserve">institutions are </w:t>
      </w:r>
      <w:r w:rsidR="008936E1">
        <w:t xml:space="preserve">more </w:t>
      </w:r>
      <w:r w:rsidR="00C27CF5">
        <w:t>aware of</w:t>
      </w:r>
      <w:r w:rsidR="0048604C">
        <w:t xml:space="preserve"> how students spend their time and money</w:t>
      </w:r>
      <w:r w:rsidR="001D0431">
        <w:t xml:space="preserve"> and how actively they engage with course content</w:t>
      </w:r>
      <w:r w:rsidR="0048604C">
        <w:t xml:space="preserve">.  </w:t>
      </w:r>
      <w:r w:rsidR="006E3CEA">
        <w:t xml:space="preserve">Additionally, </w:t>
      </w:r>
      <w:r w:rsidR="00761F17">
        <w:t xml:space="preserve">data about outcomes after graduation such as employment, wages, volunteerism, military service etc. </w:t>
      </w:r>
      <w:r w:rsidR="003A15F1">
        <w:t xml:space="preserve">are </w:t>
      </w:r>
      <w:r w:rsidR="00687957">
        <w:t xml:space="preserve">collected and </w:t>
      </w:r>
      <w:r w:rsidR="006E3CEA">
        <w:t>maintained.</w:t>
      </w:r>
      <w:r w:rsidR="00761F17">
        <w:t xml:space="preserve"> </w:t>
      </w:r>
    </w:p>
    <w:p w14:paraId="6393617C" w14:textId="77777777" w:rsidR="00761F17" w:rsidRDefault="00761F17" w:rsidP="003C3003">
      <w:pPr>
        <w:jc w:val="both"/>
      </w:pPr>
    </w:p>
    <w:p w14:paraId="660A72DB" w14:textId="77777777" w:rsidR="00163321" w:rsidRDefault="00FA3C64" w:rsidP="003C3003">
      <w:pPr>
        <w:jc w:val="both"/>
      </w:pPr>
      <w:r>
        <w:t xml:space="preserve">There are many reasons this </w:t>
      </w:r>
      <w:r w:rsidR="006E3CEA">
        <w:t>breadth and depth</w:t>
      </w:r>
      <w:r>
        <w:t xml:space="preserve"> of data is increasingly important.  </w:t>
      </w:r>
      <w:r w:rsidR="00141974">
        <w:t>D</w:t>
      </w:r>
      <w:r>
        <w:t>ata allow</w:t>
      </w:r>
      <w:r w:rsidR="00761F17">
        <w:t xml:space="preserve"> institutions </w:t>
      </w:r>
      <w:r>
        <w:t xml:space="preserve">to </w:t>
      </w:r>
      <w:r w:rsidR="00761F17">
        <w:t>teach</w:t>
      </w:r>
      <w:r w:rsidR="00141974">
        <w:t xml:space="preserve"> and </w:t>
      </w:r>
      <w:r w:rsidR="00761F17">
        <w:t xml:space="preserve">assist students, </w:t>
      </w:r>
      <w:r w:rsidR="00C04E46">
        <w:t xml:space="preserve">empirically </w:t>
      </w:r>
      <w:r w:rsidR="00761F17">
        <w:t>demonstrate value add</w:t>
      </w:r>
      <w:r w:rsidR="00CE5751">
        <w:t>ed</w:t>
      </w:r>
      <w:r w:rsidR="00163321">
        <w:t xml:space="preserve">, show </w:t>
      </w:r>
      <w:r w:rsidR="00761F17">
        <w:t xml:space="preserve">responsible stewardship of </w:t>
      </w:r>
      <w:r w:rsidR="00141974">
        <w:t xml:space="preserve">public funds, comply with state and </w:t>
      </w:r>
      <w:r w:rsidR="00761F17">
        <w:t xml:space="preserve">federal reporting mandates </w:t>
      </w:r>
      <w:r>
        <w:t>(</w:t>
      </w:r>
      <w:r w:rsidR="00761F17">
        <w:t xml:space="preserve">including </w:t>
      </w:r>
      <w:r>
        <w:t>those related to Title IV), document compliance with regional accreditation standards</w:t>
      </w:r>
      <w:r w:rsidR="00C27CF5">
        <w:t xml:space="preserve"> and</w:t>
      </w:r>
      <w:r>
        <w:t xml:space="preserve"> </w:t>
      </w:r>
      <w:r w:rsidR="00761F17">
        <w:t>recruit new students</w:t>
      </w:r>
      <w:r w:rsidR="007D1851">
        <w:t xml:space="preserve">. </w:t>
      </w:r>
      <w:r>
        <w:t xml:space="preserve"> </w:t>
      </w:r>
      <w:r w:rsidR="006012A8">
        <w:t>These</w:t>
      </w:r>
      <w:r w:rsidR="00130B71">
        <w:t xml:space="preserve"> data can </w:t>
      </w:r>
      <w:r w:rsidR="006012A8">
        <w:t xml:space="preserve">also </w:t>
      </w:r>
      <w:r w:rsidR="00130B71">
        <w:t>provide new insights into student behaviors related to learning</w:t>
      </w:r>
      <w:r w:rsidR="006012A8">
        <w:t>.</w:t>
      </w:r>
      <w:r w:rsidR="00130B71">
        <w:t xml:space="preserve"> </w:t>
      </w:r>
      <w:r w:rsidR="00163321">
        <w:t>They have</w:t>
      </w:r>
      <w:r w:rsidR="002D5604">
        <w:t xml:space="preserve"> the potential to</w:t>
      </w:r>
      <w:r w:rsidR="00130B71">
        <w:t xml:space="preserve"> shed ligh</w:t>
      </w:r>
      <w:r w:rsidR="002D5604">
        <w:t>t on which</w:t>
      </w:r>
      <w:r w:rsidR="00130B71">
        <w:t xml:space="preserve"> curriculum designs, instructional delivery, and academic support programs most effectively promo</w:t>
      </w:r>
      <w:r w:rsidR="002D5604">
        <w:t xml:space="preserve">te student success. </w:t>
      </w:r>
      <w:r w:rsidR="00C97087">
        <w:t xml:space="preserve"> </w:t>
      </w:r>
      <w:r w:rsidR="002D5604">
        <w:t>Such</w:t>
      </w:r>
      <w:r w:rsidR="00130B71">
        <w:t xml:space="preserve"> </w:t>
      </w:r>
      <w:r w:rsidR="002D5604">
        <w:t>insights</w:t>
      </w:r>
      <w:r w:rsidR="00130B71">
        <w:t xml:space="preserve"> can play a decisive role in helping at-risk students to learn and </w:t>
      </w:r>
      <w:r w:rsidR="00163321">
        <w:t xml:space="preserve">eventually </w:t>
      </w:r>
      <w:r w:rsidR="00130B71">
        <w:t>graduate.  Thus</w:t>
      </w:r>
      <w:r w:rsidR="00E52DB1">
        <w:t>,</w:t>
      </w:r>
      <w:r w:rsidR="00130B71">
        <w:t xml:space="preserve"> institutions have an ethical responsibility to collect and use </w:t>
      </w:r>
      <w:r w:rsidR="006012A8">
        <w:t>these</w:t>
      </w:r>
      <w:r w:rsidR="00130B71">
        <w:t xml:space="preserve"> data on behalf of students. </w:t>
      </w:r>
    </w:p>
    <w:p w14:paraId="29C53E6E" w14:textId="77777777" w:rsidR="00163321" w:rsidRDefault="00163321" w:rsidP="003C3003">
      <w:pPr>
        <w:jc w:val="both"/>
      </w:pPr>
    </w:p>
    <w:p w14:paraId="3A2981C5" w14:textId="35A79BE4" w:rsidR="00141974" w:rsidRDefault="00163321" w:rsidP="003C3003">
      <w:pPr>
        <w:jc w:val="both"/>
      </w:pPr>
      <w:r>
        <w:t>However, w</w:t>
      </w:r>
      <w:r w:rsidR="00C27CF5">
        <w:t>hile the su</w:t>
      </w:r>
      <w:r w:rsidR="00AD11EB">
        <w:t xml:space="preserve">rge in available data </w:t>
      </w:r>
      <w:r w:rsidR="002D5604">
        <w:t>is</w:t>
      </w:r>
      <w:r w:rsidR="00C27CF5">
        <w:t xml:space="preserve"> </w:t>
      </w:r>
      <w:r w:rsidR="002D5604">
        <w:t>reshaping</w:t>
      </w:r>
      <w:r w:rsidR="00C27CF5">
        <w:t xml:space="preserve"> the foundations of higher education,</w:t>
      </w:r>
      <w:r w:rsidR="00C97087">
        <w:t xml:space="preserve"> it</w:t>
      </w:r>
      <w:r w:rsidR="00C27CF5">
        <w:t xml:space="preserve"> </w:t>
      </w:r>
      <w:r w:rsidR="00C04E46">
        <w:t>increases the</w:t>
      </w:r>
      <w:r w:rsidR="00141974">
        <w:t xml:space="preserve"> </w:t>
      </w:r>
      <w:r w:rsidR="00021A85">
        <w:t xml:space="preserve">risk </w:t>
      </w:r>
      <w:r w:rsidR="00141974">
        <w:t>for</w:t>
      </w:r>
      <w:r w:rsidR="00034C71">
        <w:t xml:space="preserve"> “analysis paralysis</w:t>
      </w:r>
      <w:r w:rsidR="00141974">
        <w:t>,</w:t>
      </w:r>
      <w:r w:rsidR="00034C71">
        <w:t xml:space="preserve">” </w:t>
      </w:r>
      <w:r w:rsidR="00021A85">
        <w:t>reckless collection</w:t>
      </w:r>
      <w:r w:rsidR="00962832">
        <w:t>/storage</w:t>
      </w:r>
      <w:r w:rsidR="00141974">
        <w:t>,</w:t>
      </w:r>
      <w:r w:rsidR="00021A85">
        <w:t xml:space="preserve"> and </w:t>
      </w:r>
      <w:r w:rsidR="00141974">
        <w:t xml:space="preserve">improper </w:t>
      </w:r>
      <w:r w:rsidR="00021A85">
        <w:t>use of data</w:t>
      </w:r>
      <w:r w:rsidR="00034C71">
        <w:t>.</w:t>
      </w:r>
      <w:r w:rsidR="00021A85">
        <w:t xml:space="preserve">  </w:t>
      </w:r>
      <w:r w:rsidR="00141974">
        <w:t>I</w:t>
      </w:r>
      <w:r w:rsidR="00A61DBA">
        <w:t>n 2014</w:t>
      </w:r>
      <w:r w:rsidR="00141974">
        <w:t>, legal and ethical scholars assembled</w:t>
      </w:r>
      <w:r w:rsidR="00A61DBA">
        <w:t xml:space="preserve"> </w:t>
      </w:r>
      <w:r w:rsidR="008D1CC0">
        <w:t xml:space="preserve">at the Asilomar Convention for Learning Research in Higher Education </w:t>
      </w:r>
      <w:r w:rsidR="00141974">
        <w:t xml:space="preserve">and developed a </w:t>
      </w:r>
      <w:r w:rsidR="008D1CC0">
        <w:t>framework to inform the use of data and technology in learning research</w:t>
      </w:r>
      <w:r w:rsidR="001F371C">
        <w:t xml:space="preserve"> (“The Asilomar Convention</w:t>
      </w:r>
      <w:r w:rsidR="00986740">
        <w:t>” 2015)</w:t>
      </w:r>
      <w:r w:rsidR="008D1CC0">
        <w:t xml:space="preserve">.  Two </w:t>
      </w:r>
      <w:r w:rsidR="00AD48A0">
        <w:t>fundamental</w:t>
      </w:r>
      <w:r w:rsidR="008D1CC0">
        <w:t xml:space="preserve"> </w:t>
      </w:r>
      <w:r>
        <w:t>principles</w:t>
      </w:r>
      <w:r w:rsidR="008D1CC0">
        <w:t xml:space="preserve"> </w:t>
      </w:r>
      <w:r w:rsidR="00C04E46">
        <w:t>materialized</w:t>
      </w:r>
      <w:r w:rsidR="00141974">
        <w:t xml:space="preserve"> regarding the use of student data and results related to analytics in higher education.  </w:t>
      </w:r>
      <w:r>
        <w:t xml:space="preserve">The first principle was that </w:t>
      </w:r>
      <w:r w:rsidR="004836F6">
        <w:t>learning research should be for the purpose of improving higher education</w:t>
      </w:r>
      <w:r>
        <w:t xml:space="preserve">.  The second principle was that </w:t>
      </w:r>
      <w:r w:rsidR="004836F6">
        <w:t>data and results should be shared only with individuals and organization</w:t>
      </w:r>
      <w:r w:rsidR="00BA0954">
        <w:t>s</w:t>
      </w:r>
      <w:r w:rsidR="004836F6">
        <w:t xml:space="preserve"> committed to </w:t>
      </w:r>
      <w:r w:rsidR="00962832">
        <w:t>shared</w:t>
      </w:r>
      <w:r w:rsidR="004836F6" w:rsidRPr="004836F6">
        <w:t xml:space="preserve"> </w:t>
      </w:r>
      <w:r w:rsidR="004836F6">
        <w:t xml:space="preserve">ethics.  </w:t>
      </w:r>
      <w:r w:rsidR="001D1CA5">
        <w:t>These principles offer important guidance, but further leadership on the ethical use of student data is sorely needed.</w:t>
      </w:r>
    </w:p>
    <w:p w14:paraId="656441CC" w14:textId="77777777" w:rsidR="006972DD" w:rsidRDefault="006972DD" w:rsidP="003C3003">
      <w:pPr>
        <w:jc w:val="both"/>
      </w:pPr>
    </w:p>
    <w:p w14:paraId="1EEDE058" w14:textId="67317DB6" w:rsidR="006012A8" w:rsidRDefault="001F5834" w:rsidP="003F7DBA">
      <w:pPr>
        <w:jc w:val="both"/>
        <w:rPr>
          <w:u w:val="single"/>
        </w:rPr>
      </w:pPr>
      <w:r>
        <w:t xml:space="preserve">As a consortium of </w:t>
      </w:r>
      <w:r w:rsidR="00C04E46">
        <w:t>67</w:t>
      </w:r>
      <w:r>
        <w:t xml:space="preserve"> of the nation’s research universities, The Reinvention Center </w:t>
      </w:r>
      <w:r w:rsidR="00D97BFC">
        <w:t>is in a position to help provide</w:t>
      </w:r>
      <w:r w:rsidR="001D1CA5">
        <w:t xml:space="preserve"> such</w:t>
      </w:r>
      <w:r w:rsidR="00D97BFC">
        <w:t xml:space="preserve"> leadership</w:t>
      </w:r>
      <w:r w:rsidR="00021A85">
        <w:t xml:space="preserve">.  </w:t>
      </w:r>
      <w:r w:rsidR="006972DD">
        <w:t xml:space="preserve">The current </w:t>
      </w:r>
      <w:r w:rsidR="00AD48A0">
        <w:t xml:space="preserve">white paper </w:t>
      </w:r>
      <w:r w:rsidR="00D97BFC">
        <w:t xml:space="preserve">is a </w:t>
      </w:r>
      <w:r w:rsidR="00884BB1">
        <w:t xml:space="preserve">product </w:t>
      </w:r>
      <w:r w:rsidR="00D97BFC">
        <w:t xml:space="preserve">of the </w:t>
      </w:r>
      <w:r w:rsidR="006012A8">
        <w:t xml:space="preserve">Reinvention Center’s Student Success/Learning Analytics Specialized Network </w:t>
      </w:r>
      <w:r w:rsidR="00D97BFC">
        <w:t>summer 2015 meeting</w:t>
      </w:r>
      <w:r w:rsidR="00C04E46">
        <w:t>,</w:t>
      </w:r>
      <w:r w:rsidR="006012A8">
        <w:t xml:space="preserve"> which </w:t>
      </w:r>
      <w:r w:rsidR="00C04E46">
        <w:t>identified</w:t>
      </w:r>
      <w:r w:rsidR="00FF6DB7">
        <w:t xml:space="preserve"> key challenges related to </w:t>
      </w:r>
      <w:r w:rsidR="007116F2">
        <w:t>collecti</w:t>
      </w:r>
      <w:r w:rsidR="00163321">
        <w:t xml:space="preserve">ng, analyzing and sharing data while it facilitated </w:t>
      </w:r>
      <w:r w:rsidR="007116F2">
        <w:t>careful consideration of competing interests</w:t>
      </w:r>
      <w:r w:rsidR="00163321">
        <w:t xml:space="preserve">, </w:t>
      </w:r>
      <w:r w:rsidR="007116F2">
        <w:t xml:space="preserve">possible solutions and use cases.  </w:t>
      </w:r>
      <w:r w:rsidR="00790EB4">
        <w:t xml:space="preserve">  </w:t>
      </w:r>
    </w:p>
    <w:p w14:paraId="38E491AA" w14:textId="77777777" w:rsidR="003F7DBA" w:rsidRDefault="003F7DBA" w:rsidP="003C3003">
      <w:pPr>
        <w:jc w:val="both"/>
        <w:rPr>
          <w:u w:val="single"/>
        </w:rPr>
      </w:pPr>
    </w:p>
    <w:p w14:paraId="2DE4DF06" w14:textId="77777777" w:rsidR="00C04E46" w:rsidRDefault="00C04E46" w:rsidP="003C3003">
      <w:pPr>
        <w:jc w:val="both"/>
        <w:rPr>
          <w:u w:val="single"/>
        </w:rPr>
      </w:pPr>
    </w:p>
    <w:p w14:paraId="3782383B" w14:textId="522CE22E" w:rsidR="004B18F8" w:rsidRPr="004B18F8" w:rsidRDefault="004B18F8" w:rsidP="003C3003">
      <w:pPr>
        <w:jc w:val="both"/>
        <w:rPr>
          <w:u w:val="single"/>
        </w:rPr>
      </w:pPr>
      <w:r w:rsidRPr="004B18F8">
        <w:rPr>
          <w:u w:val="single"/>
        </w:rPr>
        <w:lastRenderedPageBreak/>
        <w:t>Student Success/Learning Analytics Specialized Network</w:t>
      </w:r>
      <w:r w:rsidR="00C10523">
        <w:rPr>
          <w:u w:val="single"/>
        </w:rPr>
        <w:t xml:space="preserve"> Summer 2015 Meeting Results</w:t>
      </w:r>
      <w:r w:rsidRPr="004B18F8">
        <w:rPr>
          <w:u w:val="single"/>
        </w:rPr>
        <w:t xml:space="preserve"> </w:t>
      </w:r>
    </w:p>
    <w:p w14:paraId="19B40A2D" w14:textId="77777777" w:rsidR="004B18F8" w:rsidRDefault="004B18F8" w:rsidP="004B18F8">
      <w:pPr>
        <w:jc w:val="both"/>
      </w:pPr>
      <w:r>
        <w:t xml:space="preserve">During the summer session, participating institutions were surveyed on the landscape of analytics investments across each campus.  Some consistent themes were revealed, suggesting a collective </w:t>
      </w:r>
      <w:r w:rsidR="00B474B7">
        <w:t>mindset.  Major themes were as follows:</w:t>
      </w:r>
    </w:p>
    <w:p w14:paraId="2AF7128D" w14:textId="77777777" w:rsidR="00C10523" w:rsidRDefault="00C10523" w:rsidP="004B18F8">
      <w:pPr>
        <w:jc w:val="both"/>
      </w:pPr>
    </w:p>
    <w:p w14:paraId="638F7985" w14:textId="08650E06" w:rsidR="00B474B7" w:rsidRDefault="000B16F0" w:rsidP="004B18F8">
      <w:pPr>
        <w:pStyle w:val="ListParagraph"/>
        <w:numPr>
          <w:ilvl w:val="0"/>
          <w:numId w:val="4"/>
        </w:numPr>
        <w:jc w:val="both"/>
      </w:pPr>
      <w:r>
        <w:t>C</w:t>
      </w:r>
      <w:r w:rsidR="004B18F8">
        <w:t xml:space="preserve">ampuses are still discovering who governs analytics </w:t>
      </w:r>
      <w:r>
        <w:t>and</w:t>
      </w:r>
      <w:r w:rsidR="00B474B7">
        <w:t xml:space="preserve"> are just beginning to form a standing data governance group to wrestle with issues of access, </w:t>
      </w:r>
      <w:r w:rsidR="00962832">
        <w:t xml:space="preserve">architecture, </w:t>
      </w:r>
      <w:r w:rsidR="00B474B7">
        <w:t>ethics and appropriate use of data.</w:t>
      </w:r>
    </w:p>
    <w:p w14:paraId="1235DC67" w14:textId="27D7BCD8" w:rsidR="004B18F8" w:rsidRDefault="004B18F8" w:rsidP="004B18F8">
      <w:pPr>
        <w:pStyle w:val="ListParagraph"/>
        <w:numPr>
          <w:ilvl w:val="0"/>
          <w:numId w:val="4"/>
        </w:numPr>
        <w:jc w:val="both"/>
      </w:pPr>
      <w:r>
        <w:t xml:space="preserve">Due to the expansive amount of available data and complex </w:t>
      </w:r>
      <w:r w:rsidR="00B474B7">
        <w:t>(sometimes silo</w:t>
      </w:r>
      <w:r w:rsidR="00C679C9">
        <w:t>ed</w:t>
      </w:r>
      <w:r w:rsidR="00B474B7">
        <w:t xml:space="preserve">) </w:t>
      </w:r>
      <w:r>
        <w:t xml:space="preserve">systems </w:t>
      </w:r>
      <w:r w:rsidR="00B474B7">
        <w:t>of record</w:t>
      </w:r>
      <w:r>
        <w:t xml:space="preserve">, many units </w:t>
      </w:r>
      <w:r w:rsidR="00B474B7">
        <w:t xml:space="preserve">across campus need to be </w:t>
      </w:r>
      <w:r>
        <w:t>involved in driving decisions, managing systems</w:t>
      </w:r>
      <w:r w:rsidR="00BA0954">
        <w:t xml:space="preserve"> (homegrown and third party)</w:t>
      </w:r>
      <w:r>
        <w:t xml:space="preserve"> and integrating data in meaningful ways. </w:t>
      </w:r>
      <w:r w:rsidR="00B474B7">
        <w:t>E</w:t>
      </w:r>
      <w:r>
        <w:t xml:space="preserve">fforts must be </w:t>
      </w:r>
      <w:r w:rsidR="00B60BFE">
        <w:t xml:space="preserve">highly </w:t>
      </w:r>
      <w:r>
        <w:t xml:space="preserve">collaborative and involve </w:t>
      </w:r>
      <w:r w:rsidR="00B60BFE">
        <w:t>Information Technology leadership</w:t>
      </w:r>
      <w:r w:rsidR="00BA0954">
        <w:t xml:space="preserve"> and institutional legal counsel</w:t>
      </w:r>
      <w:r w:rsidR="00B474B7">
        <w:t>.</w:t>
      </w:r>
    </w:p>
    <w:p w14:paraId="37552346" w14:textId="216D1AFA" w:rsidR="004B18F8" w:rsidRDefault="000B16F0" w:rsidP="004B18F8">
      <w:pPr>
        <w:pStyle w:val="ListParagraph"/>
        <w:numPr>
          <w:ilvl w:val="0"/>
          <w:numId w:val="4"/>
        </w:numPr>
        <w:jc w:val="both"/>
      </w:pPr>
      <w:r>
        <w:t>C</w:t>
      </w:r>
      <w:r w:rsidR="004B18F8">
        <w:t xml:space="preserve">ampuses have many </w:t>
      </w:r>
      <w:r w:rsidR="00B60BFE">
        <w:t>initiative</w:t>
      </w:r>
      <w:r w:rsidR="004B18F8">
        <w:t xml:space="preserve">s </w:t>
      </w:r>
      <w:r w:rsidR="00B60BFE">
        <w:t xml:space="preserve">to promote student success.  These initiatives are increasingly </w:t>
      </w:r>
      <w:r w:rsidR="00203206">
        <w:t>data-</w:t>
      </w:r>
      <w:r w:rsidR="00B474B7">
        <w:t>informed</w:t>
      </w:r>
      <w:r w:rsidR="004B18F8">
        <w:t xml:space="preserve"> and are now in evaluative stages to determine which effort</w:t>
      </w:r>
      <w:r w:rsidR="00B474B7">
        <w:t>s provide the biggest return on</w:t>
      </w:r>
      <w:r w:rsidR="004B18F8">
        <w:t xml:space="preserve"> investment. </w:t>
      </w:r>
    </w:p>
    <w:p w14:paraId="583715AF" w14:textId="0A8E0D92" w:rsidR="004B18F8" w:rsidRDefault="000B16F0" w:rsidP="004B18F8">
      <w:pPr>
        <w:pStyle w:val="ListParagraph"/>
        <w:numPr>
          <w:ilvl w:val="0"/>
          <w:numId w:val="4"/>
        </w:numPr>
        <w:jc w:val="both"/>
      </w:pPr>
      <w:r>
        <w:t>C</w:t>
      </w:r>
      <w:r w:rsidR="004B18F8">
        <w:t xml:space="preserve">ampuses have identified key courses that impact student success.  While analytics can help identify which courses impact successful trajectories, many theories still remain as to the reasons these courses hold significant impact.  </w:t>
      </w:r>
      <w:r w:rsidR="00B60BFE">
        <w:t xml:space="preserve">Learning analytics will be </w:t>
      </w:r>
      <w:r w:rsidR="00C04E46">
        <w:t xml:space="preserve">an </w:t>
      </w:r>
      <w:r w:rsidR="00B60BFE">
        <w:t xml:space="preserve">important </w:t>
      </w:r>
      <w:r w:rsidR="00C04E46">
        <w:t>foundation for</w:t>
      </w:r>
      <w:r w:rsidR="00B60BFE">
        <w:t xml:space="preserve"> </w:t>
      </w:r>
      <w:r w:rsidR="004B18F8">
        <w:t>efforts</w:t>
      </w:r>
      <w:r w:rsidR="004B16D7">
        <w:t xml:space="preserve"> in</w:t>
      </w:r>
      <w:r w:rsidR="004B18F8">
        <w:t xml:space="preserve"> </w:t>
      </w:r>
      <w:r w:rsidR="00B60BFE">
        <w:t>curricular and pedagogical redesign</w:t>
      </w:r>
      <w:r w:rsidR="00D53694">
        <w:t xml:space="preserve"> related to these pivotal courses</w:t>
      </w:r>
      <w:r w:rsidR="00B60BFE">
        <w:t>.</w:t>
      </w:r>
    </w:p>
    <w:p w14:paraId="2AEA2F5C" w14:textId="77777777" w:rsidR="00D53694" w:rsidRDefault="00B60BFE" w:rsidP="004B18F8">
      <w:pPr>
        <w:pStyle w:val="ListParagraph"/>
        <w:numPr>
          <w:ilvl w:val="0"/>
          <w:numId w:val="4"/>
        </w:numPr>
        <w:jc w:val="both"/>
      </w:pPr>
      <w:r>
        <w:t xml:space="preserve">Campuses are concerned with how to sustain the focus of analytics on continuous quality improvement instead of on compliance (such as </w:t>
      </w:r>
      <w:r w:rsidR="008344CE">
        <w:t>accreditation)</w:t>
      </w:r>
      <w:r>
        <w:t xml:space="preserve">.  </w:t>
      </w:r>
    </w:p>
    <w:p w14:paraId="5447D1EF" w14:textId="333CBB59" w:rsidR="004B18F8" w:rsidRDefault="008344CE" w:rsidP="004B18F8">
      <w:pPr>
        <w:pStyle w:val="ListParagraph"/>
        <w:numPr>
          <w:ilvl w:val="0"/>
          <w:numId w:val="4"/>
        </w:numPr>
        <w:jc w:val="both"/>
      </w:pPr>
      <w:r>
        <w:t>It is understood that the greatest</w:t>
      </w:r>
      <w:r w:rsidR="004B18F8">
        <w:t xml:space="preserve"> </w:t>
      </w:r>
      <w:r w:rsidR="00D53694">
        <w:t>improvements</w:t>
      </w:r>
      <w:r w:rsidR="004B18F8">
        <w:t xml:space="preserve"> </w:t>
      </w:r>
      <w:r w:rsidR="00D53694">
        <w:t>to student learning are</w:t>
      </w:r>
      <w:r w:rsidR="004B18F8">
        <w:t xml:space="preserve"> attained through collaborations between faculty, support staff and students. </w:t>
      </w:r>
    </w:p>
    <w:p w14:paraId="624DA539" w14:textId="22748FE1" w:rsidR="004B18F8" w:rsidRDefault="008344CE" w:rsidP="004B18F8">
      <w:pPr>
        <w:pStyle w:val="ListParagraph"/>
        <w:numPr>
          <w:ilvl w:val="0"/>
          <w:numId w:val="4"/>
        </w:numPr>
        <w:jc w:val="both"/>
      </w:pPr>
      <w:r>
        <w:t>The</w:t>
      </w:r>
      <w:r w:rsidR="004B18F8">
        <w:t xml:space="preserve"> integrat</w:t>
      </w:r>
      <w:r>
        <w:t xml:space="preserve">ion of </w:t>
      </w:r>
      <w:r w:rsidR="004B18F8">
        <w:t>high</w:t>
      </w:r>
      <w:r w:rsidR="00D53694">
        <w:t xml:space="preserve"> </w:t>
      </w:r>
      <w:r w:rsidR="004B18F8">
        <w:t xml:space="preserve">impact practices into </w:t>
      </w:r>
      <w:r>
        <w:t>programs of study or even individual courses</w:t>
      </w:r>
      <w:r w:rsidR="004B18F8">
        <w:t xml:space="preserve"> </w:t>
      </w:r>
      <w:r>
        <w:t xml:space="preserve">has the potential to deepen student learning by providing opportunities for students to </w:t>
      </w:r>
      <w:r w:rsidR="00D53694">
        <w:t>transfer</w:t>
      </w:r>
      <w:r>
        <w:t xml:space="preserve"> knowledge and skills </w:t>
      </w:r>
      <w:r w:rsidR="00D53694">
        <w:t>to</w:t>
      </w:r>
      <w:r>
        <w:t xml:space="preserve"> novel situations.  Data collection related to high</w:t>
      </w:r>
      <w:r w:rsidR="00D53694">
        <w:t xml:space="preserve"> </w:t>
      </w:r>
      <w:r>
        <w:t>impact practices may well include co-curricular activities.  Therefore, integration between curricular and co-curricular data</w:t>
      </w:r>
      <w:r w:rsidR="00D53694">
        <w:t xml:space="preserve"> systems</w:t>
      </w:r>
      <w:r>
        <w:t xml:space="preserve"> is important to a holistic understanding of student learning.</w:t>
      </w:r>
    </w:p>
    <w:p w14:paraId="2FBF3E0B" w14:textId="77777777" w:rsidR="00D53694" w:rsidRDefault="00235068" w:rsidP="004B18F8">
      <w:pPr>
        <w:pStyle w:val="ListParagraph"/>
        <w:numPr>
          <w:ilvl w:val="0"/>
          <w:numId w:val="4"/>
        </w:numPr>
        <w:jc w:val="both"/>
      </w:pPr>
      <w:r>
        <w:t>S</w:t>
      </w:r>
      <w:r w:rsidR="004B18F8">
        <w:t xml:space="preserve">tudents </w:t>
      </w:r>
      <w:r w:rsidR="00C04E46">
        <w:t xml:space="preserve">need to be involved in discussions about their personal and academic success.  </w:t>
      </w:r>
    </w:p>
    <w:p w14:paraId="57C86F05" w14:textId="1E11DBDA" w:rsidR="004B18F8" w:rsidRPr="0059278E" w:rsidRDefault="00D53694" w:rsidP="004B18F8">
      <w:pPr>
        <w:pStyle w:val="ListParagraph"/>
        <w:numPr>
          <w:ilvl w:val="0"/>
          <w:numId w:val="4"/>
        </w:numPr>
        <w:jc w:val="both"/>
      </w:pPr>
      <w:r>
        <w:t xml:space="preserve">Students </w:t>
      </w:r>
      <w:r w:rsidR="00C04E46">
        <w:t xml:space="preserve">should be informed of which </w:t>
      </w:r>
      <w:r w:rsidR="00A310B8">
        <w:t xml:space="preserve">data </w:t>
      </w:r>
      <w:r w:rsidR="00C04E46">
        <w:t xml:space="preserve">are being </w:t>
      </w:r>
      <w:r w:rsidR="00A310B8">
        <w:t>collected</w:t>
      </w:r>
      <w:r>
        <w:t>,</w:t>
      </w:r>
      <w:r w:rsidR="00C04E46">
        <w:t xml:space="preserve"> </w:t>
      </w:r>
      <w:r>
        <w:t>why it is important and how the collection accomplished</w:t>
      </w:r>
      <w:r w:rsidR="00C04E46">
        <w:t>.</w:t>
      </w:r>
      <w:r w:rsidR="004B18F8">
        <w:t xml:space="preserve">  Institutions will be most successful when they are clear and dir</w:t>
      </w:r>
      <w:r w:rsidR="00793DC7">
        <w:t xml:space="preserve">ect with students, detailing </w:t>
      </w:r>
      <w:r w:rsidR="000B16F0">
        <w:t xml:space="preserve">academic options and </w:t>
      </w:r>
      <w:r w:rsidR="00793DC7">
        <w:t>the rationale behind interventions</w:t>
      </w:r>
      <w:r w:rsidR="004B18F8">
        <w:t xml:space="preserve">.  </w:t>
      </w:r>
    </w:p>
    <w:p w14:paraId="3F580190" w14:textId="77777777" w:rsidR="0093453A" w:rsidRDefault="0093453A" w:rsidP="003C3003">
      <w:pPr>
        <w:jc w:val="both"/>
      </w:pPr>
    </w:p>
    <w:p w14:paraId="2E40B69F" w14:textId="3BBC73F5" w:rsidR="007116F2" w:rsidRDefault="0093453A" w:rsidP="003C3003">
      <w:pPr>
        <w:jc w:val="both"/>
      </w:pPr>
      <w:r>
        <w:t xml:space="preserve">The remainder of this white paper </w:t>
      </w:r>
      <w:r w:rsidR="00407F87">
        <w:t>elaborates</w:t>
      </w:r>
      <w:r>
        <w:t xml:space="preserve"> on these themes and incorporates input from many of the Reinvention Center institutions.</w:t>
      </w:r>
    </w:p>
    <w:p w14:paraId="03AACC47" w14:textId="77777777" w:rsidR="0093453A" w:rsidRDefault="0093453A" w:rsidP="003C3003">
      <w:pPr>
        <w:jc w:val="both"/>
      </w:pPr>
    </w:p>
    <w:p w14:paraId="4A6B8374" w14:textId="29768EB3" w:rsidR="00A45066" w:rsidRPr="00A45066" w:rsidRDefault="00A45066" w:rsidP="003C3003">
      <w:pPr>
        <w:jc w:val="both"/>
        <w:rPr>
          <w:u w:val="single"/>
        </w:rPr>
      </w:pPr>
      <w:r w:rsidRPr="00A45066">
        <w:rPr>
          <w:u w:val="single"/>
        </w:rPr>
        <w:t>Data Collection</w:t>
      </w:r>
      <w:r w:rsidR="006603D9">
        <w:rPr>
          <w:u w:val="single"/>
        </w:rPr>
        <w:t>, Transparency and IRB</w:t>
      </w:r>
      <w:r w:rsidR="009A2AA3">
        <w:rPr>
          <w:u w:val="single"/>
        </w:rPr>
        <w:t xml:space="preserve"> </w:t>
      </w:r>
    </w:p>
    <w:p w14:paraId="199ED3CE" w14:textId="24BABA9F" w:rsidR="00CA0BA3" w:rsidRDefault="00461DE5" w:rsidP="003C3003">
      <w:pPr>
        <w:jc w:val="both"/>
      </w:pPr>
      <w:r>
        <w:t xml:space="preserve">Primary to the discussion of data collection is the </w:t>
      </w:r>
      <w:r w:rsidR="007C050B">
        <w:t>issue of</w:t>
      </w:r>
      <w:r w:rsidR="004836F6">
        <w:t xml:space="preserve"> transparency</w:t>
      </w:r>
      <w:r w:rsidR="00DA5D90">
        <w:t xml:space="preserve">.  According to Family Educational Rights and Privacy Act (FERPA) </w:t>
      </w:r>
      <w:r w:rsidR="00AC645D">
        <w:t>legislation and regulations</w:t>
      </w:r>
      <w:r w:rsidR="00DA5D90">
        <w:t xml:space="preserve">, written consent is not required in order for institutions (or </w:t>
      </w:r>
      <w:r w:rsidR="00DA5D90" w:rsidRPr="00DA5D90">
        <w:t xml:space="preserve">organizations </w:t>
      </w:r>
      <w:r w:rsidR="00DA5D90">
        <w:t xml:space="preserve">acting on the institution’s behalf) to use student data in research to </w:t>
      </w:r>
      <w:r w:rsidR="00DA5D90" w:rsidRPr="00DA5D90">
        <w:t>improv</w:t>
      </w:r>
      <w:r w:rsidR="00DA5D90">
        <w:t>e</w:t>
      </w:r>
      <w:r w:rsidR="00DA5D90" w:rsidRPr="00DA5D90">
        <w:t xml:space="preserve"> instruction</w:t>
      </w:r>
      <w:r w:rsidR="00DA5D90">
        <w:t xml:space="preserve"> or for other legitimate educational interests.</w:t>
      </w:r>
      <w:r w:rsidR="00AC645D">
        <w:t xml:space="preserve"> State privacy laws </w:t>
      </w:r>
      <w:r w:rsidR="000C36B5">
        <w:t>may</w:t>
      </w:r>
      <w:r w:rsidR="00AC645D">
        <w:t xml:space="preserve"> be more restrictive. </w:t>
      </w:r>
      <w:r w:rsidR="00DA5D90">
        <w:t xml:space="preserve"> </w:t>
      </w:r>
      <w:r w:rsidR="00AC645D">
        <w:t>Regardless</w:t>
      </w:r>
      <w:r w:rsidR="00DA5D90">
        <w:t xml:space="preserve">, </w:t>
      </w:r>
      <w:r w:rsidR="00C04E46">
        <w:t>institutions</w:t>
      </w:r>
      <w:r w:rsidR="00DA5D90">
        <w:t xml:space="preserve"> do have a responsibility to </w:t>
      </w:r>
      <w:r w:rsidR="00C04E46">
        <w:t>inform</w:t>
      </w:r>
      <w:r w:rsidR="009C5D35">
        <w:t xml:space="preserve"> students, other stakeholders, and the general public</w:t>
      </w:r>
      <w:r w:rsidR="00DA5D90">
        <w:t xml:space="preserve"> </w:t>
      </w:r>
      <w:r w:rsidR="007C050B">
        <w:t>about the data that is being collected</w:t>
      </w:r>
      <w:r w:rsidR="005F6572">
        <w:t>,</w:t>
      </w:r>
      <w:r w:rsidR="007C050B">
        <w:t xml:space="preserve"> as well as the potential risks and benefits</w:t>
      </w:r>
      <w:r w:rsidR="005F6572">
        <w:t xml:space="preserve"> involved</w:t>
      </w:r>
      <w:r w:rsidR="007C050B">
        <w:t xml:space="preserve">.  </w:t>
      </w:r>
      <w:r w:rsidR="00991FCD">
        <w:t>R</w:t>
      </w:r>
      <w:r w:rsidR="007C050B">
        <w:t xml:space="preserve">isks would include a possible, although unlikely, data breach.  Students should be made aware of the institution’s policies and practices to mitigate this risk.  </w:t>
      </w:r>
      <w:r w:rsidR="0093453A">
        <w:t>They should also be made aware of the p</w:t>
      </w:r>
      <w:r w:rsidR="00653703">
        <w:t>otential benefit</w:t>
      </w:r>
      <w:r w:rsidR="00BD2A13">
        <w:t>s</w:t>
      </w:r>
      <w:r w:rsidR="001425ED">
        <w:t xml:space="preserve"> </w:t>
      </w:r>
      <w:r w:rsidR="00DC2E72">
        <w:t>of data analysis</w:t>
      </w:r>
      <w:r w:rsidR="000C36B5">
        <w:t>/research</w:t>
      </w:r>
      <w:r w:rsidR="00DC2E72">
        <w:t xml:space="preserve"> including</w:t>
      </w:r>
      <w:r w:rsidR="001425ED">
        <w:t xml:space="preserve"> </w:t>
      </w:r>
      <w:r w:rsidR="00BD2A13">
        <w:t xml:space="preserve">personalized transition support, better academic advising, </w:t>
      </w:r>
      <w:r w:rsidR="003E260E">
        <w:t xml:space="preserve">stronger curricula and instructional approaches, </w:t>
      </w:r>
      <w:r w:rsidR="001425ED">
        <w:t xml:space="preserve">appropriate levels of </w:t>
      </w:r>
      <w:r w:rsidR="00BD2A13">
        <w:t xml:space="preserve">academic </w:t>
      </w:r>
      <w:r w:rsidR="001425ED">
        <w:lastRenderedPageBreak/>
        <w:t>support</w:t>
      </w:r>
      <w:r w:rsidR="00BD2A13">
        <w:t xml:space="preserve"> </w:t>
      </w:r>
      <w:r w:rsidR="000C36B5">
        <w:t>and</w:t>
      </w:r>
      <w:r w:rsidR="001425ED">
        <w:t xml:space="preserve"> institutional improvement for the benefit of future students.  </w:t>
      </w:r>
      <w:r w:rsidR="00D54A64">
        <w:t>Further, students should be reminded of their right to inspect and review their educational record</w:t>
      </w:r>
      <w:r w:rsidR="00211EE9">
        <w:t>s</w:t>
      </w:r>
      <w:r w:rsidR="000C36B5">
        <w:t xml:space="preserve"> at their discretion</w:t>
      </w:r>
      <w:r w:rsidR="00D54A64">
        <w:t>.</w:t>
      </w:r>
    </w:p>
    <w:p w14:paraId="7D30576E" w14:textId="77777777" w:rsidR="007228D8" w:rsidRDefault="007228D8" w:rsidP="003C3003">
      <w:pPr>
        <w:jc w:val="both"/>
      </w:pPr>
    </w:p>
    <w:p w14:paraId="42970FBF" w14:textId="439A092A" w:rsidR="0092599E" w:rsidRDefault="007D08CA" w:rsidP="0092599E">
      <w:pPr>
        <w:jc w:val="both"/>
      </w:pPr>
      <w:r>
        <w:t>Also relevant to the discussion of data collection is the involvement of the Institutional Review Board/Independent Ethics Committee.  The IRB</w:t>
      </w:r>
      <w:r w:rsidR="00FD2CFB">
        <w:t>/ICE</w:t>
      </w:r>
      <w:r>
        <w:t xml:space="preserve"> will d</w:t>
      </w:r>
      <w:r w:rsidR="00FD2CFB">
        <w:t>ecide if analytics</w:t>
      </w:r>
      <w:r w:rsidR="009F25F7">
        <w:t>-based</w:t>
      </w:r>
      <w:r w:rsidR="00FD2CFB">
        <w:t xml:space="preserve"> projects require their continuing oversight or if projects qualify for exemption.  </w:t>
      </w:r>
      <w:r w:rsidR="000C36B5">
        <w:t>Nevertheless</w:t>
      </w:r>
      <w:r w:rsidR="009F25F7">
        <w:t xml:space="preserve">, methodologies should be transparent to students, parents, and faculty/staff.  </w:t>
      </w:r>
      <w:r w:rsidR="0092599E" w:rsidRPr="002A77F4">
        <w:t xml:space="preserve">The </w:t>
      </w:r>
      <w:r w:rsidR="00F83726" w:rsidRPr="002A77F4">
        <w:t>Code of Fed</w:t>
      </w:r>
      <w:r w:rsidR="006C3A6E" w:rsidRPr="002A77F4">
        <w:t>eral Regulations (45 CFR 46.101)</w:t>
      </w:r>
      <w:r w:rsidR="00F83726" w:rsidRPr="002A77F4">
        <w:t xml:space="preserve"> </w:t>
      </w:r>
      <w:r w:rsidR="0092599E" w:rsidRPr="002A77F4">
        <w:t xml:space="preserve">allows exemption </w:t>
      </w:r>
      <w:r w:rsidR="00F83726" w:rsidRPr="002A77F4">
        <w:t xml:space="preserve">from IRB review </w:t>
      </w:r>
      <w:r w:rsidR="0092599E" w:rsidRPr="002A77F4">
        <w:t xml:space="preserve">for research activities in which the </w:t>
      </w:r>
      <w:r w:rsidR="0092599E" w:rsidRPr="002A77F4">
        <w:rPr>
          <w:u w:val="single"/>
        </w:rPr>
        <w:t>only</w:t>
      </w:r>
      <w:r w:rsidR="0092599E" w:rsidRPr="002A77F4">
        <w:t xml:space="preserve"> involvement of human subjects will be in one or more of the following categories:</w:t>
      </w:r>
    </w:p>
    <w:p w14:paraId="3843E4BC" w14:textId="77777777" w:rsidR="0092599E" w:rsidRDefault="0092599E" w:rsidP="0092599E">
      <w:pPr>
        <w:jc w:val="both"/>
      </w:pPr>
    </w:p>
    <w:p w14:paraId="1FAACBAD" w14:textId="77777777" w:rsidR="0092599E" w:rsidRDefault="0092599E" w:rsidP="00C84B98">
      <w:pPr>
        <w:ind w:left="720" w:right="720"/>
        <w:jc w:val="both"/>
      </w:pPr>
      <w:r>
        <w:t xml:space="preserve"> (1)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14:paraId="76547B58" w14:textId="77777777" w:rsidR="0092599E" w:rsidRDefault="0092599E" w:rsidP="00C84B98">
      <w:pPr>
        <w:ind w:left="720" w:right="720"/>
        <w:jc w:val="both"/>
      </w:pPr>
    </w:p>
    <w:p w14:paraId="220CD475" w14:textId="77777777" w:rsidR="0092599E" w:rsidRDefault="0092599E" w:rsidP="00C84B98">
      <w:pPr>
        <w:ind w:left="720" w:right="720"/>
        <w:jc w:val="both"/>
      </w:pPr>
      <w:r>
        <w:t xml:space="preserve"> (2) Research involving the use of educational tests (cognitive, diagnostic, aptitude, achievement), survey procedures, interview procedures or observation of public behavior, unless:</w:t>
      </w:r>
      <w:r w:rsidR="00C84B98">
        <w:t xml:space="preserve"> </w:t>
      </w:r>
      <w:r>
        <w:t>(i)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613F5F26" w14:textId="77777777" w:rsidR="0092599E" w:rsidRDefault="0092599E" w:rsidP="00C84B98">
      <w:pPr>
        <w:ind w:left="720" w:right="720"/>
        <w:jc w:val="both"/>
      </w:pPr>
    </w:p>
    <w:p w14:paraId="57321C0E" w14:textId="77777777" w:rsidR="0092599E" w:rsidRDefault="0092599E" w:rsidP="00C84B98">
      <w:pPr>
        <w:ind w:left="720" w:right="720"/>
        <w:jc w:val="both"/>
      </w:pPr>
      <w:r>
        <w:t xml:space="preserve"> (3) Research involving the use of educational tests (cognitive, diagnostic, aptitude, achievement), survey procedures, interview procedures, or observation of public behavior that is not exempt under paragraph (b)(2) of this section, if:</w:t>
      </w:r>
      <w:r w:rsidR="00C84B98">
        <w:t xml:space="preserve"> </w:t>
      </w:r>
      <w:r>
        <w:t>(i)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386B2A77" w14:textId="77777777" w:rsidR="0092599E" w:rsidRDefault="0092599E" w:rsidP="00C84B98">
      <w:pPr>
        <w:ind w:left="720" w:right="720"/>
        <w:jc w:val="both"/>
      </w:pPr>
    </w:p>
    <w:p w14:paraId="0248E7DB" w14:textId="77777777" w:rsidR="0092599E" w:rsidRDefault="0092599E" w:rsidP="00C84B98">
      <w:pPr>
        <w:ind w:left="720" w:right="720"/>
        <w:jc w:val="both"/>
      </w:pPr>
      <w:r>
        <w:t xml:space="preserve"> (4)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41F3811E" w14:textId="77777777" w:rsidR="0092599E" w:rsidRDefault="0092599E" w:rsidP="00C84B98">
      <w:pPr>
        <w:ind w:left="720" w:right="720"/>
        <w:jc w:val="both"/>
      </w:pPr>
    </w:p>
    <w:p w14:paraId="35AD3D75" w14:textId="77777777" w:rsidR="0092599E" w:rsidRDefault="0092599E" w:rsidP="00C84B98">
      <w:pPr>
        <w:ind w:left="720" w:right="720"/>
        <w:jc w:val="both"/>
      </w:pPr>
      <w:r>
        <w:t xml:space="preserve"> (5) Research and demonstration projects which are conducted by or subject to the approval of department or agency heads, and which are designed to study, evaluate, or otherwise examine:</w:t>
      </w:r>
      <w:r w:rsidR="00C84B98">
        <w:t xml:space="preserve"> </w:t>
      </w:r>
      <w:r>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521B8F03" w14:textId="77777777" w:rsidR="0092599E" w:rsidRDefault="0092599E" w:rsidP="00C84B98">
      <w:pPr>
        <w:ind w:left="720" w:right="720"/>
        <w:jc w:val="both"/>
      </w:pPr>
    </w:p>
    <w:p w14:paraId="5B4A2658" w14:textId="77777777" w:rsidR="00C04E46" w:rsidRDefault="0092599E" w:rsidP="00C04E46">
      <w:pPr>
        <w:ind w:left="720" w:right="720"/>
        <w:jc w:val="both"/>
      </w:pPr>
      <w:r>
        <w:t xml:space="preserve"> (6)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w:t>
      </w:r>
      <w:r>
        <w:lastRenderedPageBreak/>
        <w:t>safe, by the Food and Drug Administration or approved by the Environmental Protection Agency or the Food Safety and Inspection Service of the U.S. Department of Agriculture.</w:t>
      </w:r>
    </w:p>
    <w:p w14:paraId="2A9623CE" w14:textId="77777777" w:rsidR="000C36B5" w:rsidRDefault="000C36B5" w:rsidP="00C04E46">
      <w:pPr>
        <w:ind w:right="720"/>
        <w:jc w:val="both"/>
        <w:rPr>
          <w:u w:val="single"/>
        </w:rPr>
      </w:pPr>
    </w:p>
    <w:p w14:paraId="10B70E42" w14:textId="46ADE8E4" w:rsidR="00A45066" w:rsidRPr="00C04E46" w:rsidRDefault="00F57C2E" w:rsidP="00C04E46">
      <w:pPr>
        <w:ind w:right="720"/>
        <w:jc w:val="both"/>
      </w:pPr>
      <w:r>
        <w:rPr>
          <w:u w:val="single"/>
        </w:rPr>
        <w:t>Data Governance</w:t>
      </w:r>
    </w:p>
    <w:p w14:paraId="59AAB2B2" w14:textId="4DFC9E0D" w:rsidR="00E90F4A" w:rsidRDefault="00196D0B" w:rsidP="003C3003">
      <w:pPr>
        <w:jc w:val="both"/>
      </w:pPr>
      <w:r>
        <w:t xml:space="preserve">Data governance </w:t>
      </w:r>
      <w:r w:rsidR="00206608">
        <w:t xml:space="preserve">provides a crucial role in monitoring the </w:t>
      </w:r>
      <w:r w:rsidR="002A77F4">
        <w:t xml:space="preserve">ethical </w:t>
      </w:r>
      <w:r w:rsidR="00206608">
        <w:t xml:space="preserve">use of student data for analytical investigation.  A governing board provides </w:t>
      </w:r>
      <w:r w:rsidR="002A77F4">
        <w:t>authority over</w:t>
      </w:r>
      <w:r w:rsidR="00206608">
        <w:t xml:space="preserve"> data a</w:t>
      </w:r>
      <w:r>
        <w:t xml:space="preserve">rchitecture, </w:t>
      </w:r>
      <w:r w:rsidR="00E90F4A">
        <w:t>access</w:t>
      </w:r>
      <w:r>
        <w:t xml:space="preserve"> and training </w:t>
      </w:r>
      <w:r w:rsidR="002A77F4">
        <w:t xml:space="preserve">while also </w:t>
      </w:r>
      <w:r w:rsidR="00206608">
        <w:t xml:space="preserve">developing </w:t>
      </w:r>
      <w:r>
        <w:t>polic</w:t>
      </w:r>
      <w:r w:rsidR="00206608">
        <w:t>ies and p</w:t>
      </w:r>
      <w:r>
        <w:t xml:space="preserve">rocedures that effectively protect student data </w:t>
      </w:r>
      <w:r w:rsidR="002B1E29">
        <w:t xml:space="preserve">and </w:t>
      </w:r>
      <w:r w:rsidR="002A77F4">
        <w:t>guide faculty/</w:t>
      </w:r>
      <w:r w:rsidR="008422EB">
        <w:t xml:space="preserve">staff on ethical </w:t>
      </w:r>
      <w:r w:rsidR="00F57C2E">
        <w:t xml:space="preserve">and </w:t>
      </w:r>
      <w:r w:rsidR="008422EB">
        <w:t>permissible</w:t>
      </w:r>
      <w:r w:rsidR="00F57C2E">
        <w:t xml:space="preserve"> use</w:t>
      </w:r>
      <w:r w:rsidR="002A77F4">
        <w:t>s</w:t>
      </w:r>
      <w:r>
        <w:t xml:space="preserve">.  A standing committee with membership from major </w:t>
      </w:r>
      <w:r w:rsidR="00986740">
        <w:t>institutional</w:t>
      </w:r>
      <w:r w:rsidR="00F06DBC">
        <w:t xml:space="preserve"> </w:t>
      </w:r>
      <w:r>
        <w:t xml:space="preserve">functional areas should be established to ensure </w:t>
      </w:r>
      <w:r w:rsidR="002A77F4">
        <w:t xml:space="preserve">this ongoing oversight.  </w:t>
      </w:r>
      <w:r w:rsidR="00F06DBC">
        <w:t xml:space="preserve">These members should </w:t>
      </w:r>
      <w:r w:rsidR="009A4184">
        <w:t>agree, fundamentally, that</w:t>
      </w:r>
      <w:r w:rsidR="009A4184" w:rsidRPr="009A4184">
        <w:t xml:space="preserve"> data from functional areas are not “owned” by </w:t>
      </w:r>
      <w:r w:rsidR="009A4184">
        <w:t>that</w:t>
      </w:r>
      <w:r w:rsidR="009A4184" w:rsidRPr="009A4184">
        <w:t xml:space="preserve"> area</w:t>
      </w:r>
      <w:r w:rsidR="009F25F7">
        <w:t xml:space="preserve"> and </w:t>
      </w:r>
      <w:r w:rsidR="009A4184">
        <w:t>are</w:t>
      </w:r>
      <w:r w:rsidR="009F25F7">
        <w:t>, instead,</w:t>
      </w:r>
      <w:r w:rsidR="009A4184">
        <w:t xml:space="preserve"> institutionally “owned” and should be used for the greatest good.  Members should also </w:t>
      </w:r>
      <w:r w:rsidR="00F06DBC">
        <w:t>be expected to</w:t>
      </w:r>
      <w:r w:rsidR="000D6E7E">
        <w:t>:</w:t>
      </w:r>
      <w:r w:rsidR="00F06DBC">
        <w:t xml:space="preserve"> </w:t>
      </w:r>
    </w:p>
    <w:p w14:paraId="4A408A7D" w14:textId="77777777" w:rsidR="002A77F4" w:rsidRDefault="002A77F4" w:rsidP="003C3003">
      <w:pPr>
        <w:jc w:val="both"/>
      </w:pPr>
    </w:p>
    <w:p w14:paraId="049643C3" w14:textId="290DB800" w:rsidR="00E90F4A" w:rsidRDefault="0069720C" w:rsidP="003C3003">
      <w:pPr>
        <w:pStyle w:val="ListParagraph"/>
        <w:numPr>
          <w:ilvl w:val="0"/>
          <w:numId w:val="1"/>
        </w:numPr>
        <w:jc w:val="both"/>
      </w:pPr>
      <w:r>
        <w:t xml:space="preserve">Possess a </w:t>
      </w:r>
      <w:r w:rsidR="00F06DBC">
        <w:t>thorough understand</w:t>
      </w:r>
      <w:r>
        <w:t>ing</w:t>
      </w:r>
      <w:r w:rsidR="00F06DBC">
        <w:t xml:space="preserve"> </w:t>
      </w:r>
      <w:r w:rsidR="002A77F4">
        <w:t xml:space="preserve">of </w:t>
      </w:r>
      <w:r w:rsidR="00F06DBC">
        <w:t>the</w:t>
      </w:r>
      <w:r w:rsidR="00E90F4A">
        <w:t xml:space="preserve"> nuances of their</w:t>
      </w:r>
      <w:r w:rsidR="00F06DBC">
        <w:t xml:space="preserve"> data </w:t>
      </w:r>
    </w:p>
    <w:p w14:paraId="13B2554D" w14:textId="738A13C9" w:rsidR="00E90F4A" w:rsidRDefault="0069720C" w:rsidP="003C3003">
      <w:pPr>
        <w:pStyle w:val="ListParagraph"/>
        <w:numPr>
          <w:ilvl w:val="0"/>
          <w:numId w:val="1"/>
        </w:numPr>
        <w:jc w:val="both"/>
      </w:pPr>
      <w:r>
        <w:t>Possess a familiarity</w:t>
      </w:r>
      <w:r w:rsidR="00E90F4A">
        <w:t xml:space="preserve"> with </w:t>
      </w:r>
      <w:r w:rsidR="002A77F4">
        <w:t>the applicability</w:t>
      </w:r>
      <w:r w:rsidR="00BF635F">
        <w:t xml:space="preserve"> of relevant </w:t>
      </w:r>
      <w:r w:rsidR="00E90F4A">
        <w:t xml:space="preserve">local, state, and federal laws/regulations </w:t>
      </w:r>
    </w:p>
    <w:p w14:paraId="3B7F2D0F" w14:textId="0349E320" w:rsidR="0069720C" w:rsidRDefault="0069720C" w:rsidP="003C3003">
      <w:pPr>
        <w:pStyle w:val="ListParagraph"/>
        <w:numPr>
          <w:ilvl w:val="0"/>
          <w:numId w:val="1"/>
        </w:numPr>
        <w:jc w:val="both"/>
      </w:pPr>
      <w:r>
        <w:t>B</w:t>
      </w:r>
      <w:r w:rsidR="00F06DBC">
        <w:t xml:space="preserve">e responsible for training on </w:t>
      </w:r>
      <w:r w:rsidR="00E90F4A">
        <w:t xml:space="preserve">the appropriate </w:t>
      </w:r>
      <w:r w:rsidR="00BF635F">
        <w:t xml:space="preserve">understanding, </w:t>
      </w:r>
      <w:r w:rsidR="000411EE">
        <w:t xml:space="preserve">collection, </w:t>
      </w:r>
      <w:r w:rsidR="00E90F4A">
        <w:t xml:space="preserve">use </w:t>
      </w:r>
      <w:r>
        <w:t xml:space="preserve">and storage </w:t>
      </w:r>
      <w:r w:rsidR="00E90F4A">
        <w:t>of data</w:t>
      </w:r>
      <w:r w:rsidR="00F06DBC">
        <w:t xml:space="preserve">  </w:t>
      </w:r>
    </w:p>
    <w:p w14:paraId="18F07A3C" w14:textId="48D81709" w:rsidR="00BF635F" w:rsidRDefault="00BF635F" w:rsidP="003C3003">
      <w:pPr>
        <w:pStyle w:val="ListParagraph"/>
        <w:numPr>
          <w:ilvl w:val="0"/>
          <w:numId w:val="1"/>
        </w:numPr>
        <w:jc w:val="both"/>
      </w:pPr>
      <w:r>
        <w:t xml:space="preserve">Be responsible for the accuracy of the data generated </w:t>
      </w:r>
      <w:r w:rsidR="002A77F4">
        <w:t>with</w:t>
      </w:r>
      <w:r>
        <w:t>in their functional area</w:t>
      </w:r>
    </w:p>
    <w:p w14:paraId="5C8E04D8" w14:textId="24F8802D" w:rsidR="009A2AA3" w:rsidRDefault="0069720C" w:rsidP="003C3003">
      <w:pPr>
        <w:pStyle w:val="ListParagraph"/>
        <w:numPr>
          <w:ilvl w:val="0"/>
          <w:numId w:val="1"/>
        </w:numPr>
        <w:jc w:val="both"/>
      </w:pPr>
      <w:r>
        <w:t>Recommend</w:t>
      </w:r>
      <w:r w:rsidR="00F06DBC">
        <w:t xml:space="preserve"> levels of access to </w:t>
      </w:r>
      <w:r>
        <w:t xml:space="preserve">specific </w:t>
      </w:r>
      <w:r w:rsidR="00F06DBC">
        <w:t>data elements and user roles to help safegua</w:t>
      </w:r>
      <w:r>
        <w:t>rd against over exposure</w:t>
      </w:r>
    </w:p>
    <w:p w14:paraId="4F5CC363" w14:textId="6C59F1E5" w:rsidR="00BF635F" w:rsidRDefault="002B1E29" w:rsidP="003C3003">
      <w:pPr>
        <w:pStyle w:val="ListParagraph"/>
        <w:numPr>
          <w:ilvl w:val="0"/>
          <w:numId w:val="1"/>
        </w:numPr>
        <w:jc w:val="both"/>
      </w:pPr>
      <w:r>
        <w:t>Actively engage</w:t>
      </w:r>
      <w:r w:rsidR="00BF635F">
        <w:t xml:space="preserve"> in discussion</w:t>
      </w:r>
      <w:r>
        <w:t>s</w:t>
      </w:r>
      <w:r w:rsidR="00BF635F">
        <w:t xml:space="preserve"> about </w:t>
      </w:r>
      <w:r>
        <w:t>specific</w:t>
      </w:r>
      <w:r w:rsidR="00BF635F">
        <w:t xml:space="preserve"> use cases on campus </w:t>
      </w:r>
    </w:p>
    <w:p w14:paraId="34C07C8A" w14:textId="77777777" w:rsidR="00F57C2E" w:rsidRDefault="00F57C2E" w:rsidP="003C3003">
      <w:pPr>
        <w:jc w:val="both"/>
      </w:pPr>
    </w:p>
    <w:p w14:paraId="57769039" w14:textId="77777777" w:rsidR="00F57C2E" w:rsidRPr="00F57C2E" w:rsidRDefault="00F57C2E" w:rsidP="003C3003">
      <w:pPr>
        <w:jc w:val="both"/>
        <w:rPr>
          <w:u w:val="single"/>
        </w:rPr>
      </w:pPr>
      <w:r w:rsidRPr="00F57C2E">
        <w:rPr>
          <w:u w:val="single"/>
        </w:rPr>
        <w:t>Confidentiality</w:t>
      </w:r>
    </w:p>
    <w:p w14:paraId="7A87CF98" w14:textId="25A59CC0" w:rsidR="0069720C" w:rsidRDefault="00F57C2E" w:rsidP="003C3003">
      <w:pPr>
        <w:jc w:val="both"/>
      </w:pPr>
      <w:r>
        <w:t>Confidentiality of the educational record is critical</w:t>
      </w:r>
      <w:r w:rsidR="008422EB">
        <w:t>, however,</w:t>
      </w:r>
      <w:r w:rsidR="00986740">
        <w:t xml:space="preserve"> </w:t>
      </w:r>
      <w:r w:rsidR="004A0627">
        <w:t>student success/learning analytics</w:t>
      </w:r>
      <w:r w:rsidR="00986740">
        <w:t xml:space="preserve"> create circumstances where boundaries </w:t>
      </w:r>
      <w:r w:rsidR="000C36B5">
        <w:t>can be</w:t>
      </w:r>
      <w:r w:rsidR="00986740">
        <w:t xml:space="preserve"> </w:t>
      </w:r>
      <w:r w:rsidR="000C36B5">
        <w:t>uncertain</w:t>
      </w:r>
      <w:r w:rsidR="00986740">
        <w:t xml:space="preserve">.  </w:t>
      </w:r>
      <w:r>
        <w:t xml:space="preserve">FERPA details specific cases where disclosure of personally identifiable information is appropriate.  </w:t>
      </w:r>
      <w:r w:rsidR="005508D4">
        <w:t xml:space="preserve">One such case is </w:t>
      </w:r>
      <w:r w:rsidR="000411EE">
        <w:t>where</w:t>
      </w:r>
      <w:r w:rsidR="005508D4">
        <w:t xml:space="preserve"> safety or health</w:t>
      </w:r>
      <w:r w:rsidR="000411EE">
        <w:t xml:space="preserve"> of students, faculty, or staff might be in jeopardy</w:t>
      </w:r>
      <w:r w:rsidR="00FD2A4C">
        <w:t>.</w:t>
      </w:r>
      <w:r w:rsidR="000411EE">
        <w:t xml:space="preserve"> </w:t>
      </w:r>
      <w:r w:rsidR="005508D4">
        <w:t>As d</w:t>
      </w:r>
      <w:r w:rsidR="00BF635F">
        <w:t xml:space="preserve">ata from student affairs (advisors, RAs, tutoring, etc.) </w:t>
      </w:r>
      <w:r w:rsidR="005508D4">
        <w:t xml:space="preserve">is increasingly used in analytics, </w:t>
      </w:r>
      <w:r w:rsidR="00BF635F">
        <w:t xml:space="preserve">these specific circumstances </w:t>
      </w:r>
      <w:r w:rsidR="000C36B5">
        <w:t>may</w:t>
      </w:r>
      <w:r w:rsidR="00BF635F">
        <w:t xml:space="preserve"> </w:t>
      </w:r>
      <w:r w:rsidR="000C36B5">
        <w:t>arise</w:t>
      </w:r>
      <w:r w:rsidR="004A0627">
        <w:t>.  Therefore</w:t>
      </w:r>
      <w:r w:rsidR="00F94332">
        <w:t>,</w:t>
      </w:r>
      <w:r w:rsidR="00ED3027">
        <w:t xml:space="preserve"> all those using data should </w:t>
      </w:r>
      <w:r w:rsidR="000411EE">
        <w:t>remember</w:t>
      </w:r>
      <w:r w:rsidR="004A0627">
        <w:t xml:space="preserve"> that, in this circumstance, confidentiality must be broken</w:t>
      </w:r>
      <w:r w:rsidR="000411EE">
        <w:t xml:space="preserve"> and the campus’ threat assessment team or police should be notified</w:t>
      </w:r>
      <w:r w:rsidR="004A0627">
        <w:t>.</w:t>
      </w:r>
      <w:r w:rsidR="000411EE">
        <w:t xml:space="preserve"> </w:t>
      </w:r>
      <w:r w:rsidR="00ED3027">
        <w:t xml:space="preserve">Outside of </w:t>
      </w:r>
      <w:r w:rsidR="000411EE">
        <w:t>these health and safety emergency</w:t>
      </w:r>
      <w:r w:rsidR="00ED3027">
        <w:t xml:space="preserve"> circumstances, every effort should be made to maintain confidentiality.  All data users should be required to adhere to standard security policies</w:t>
      </w:r>
      <w:r w:rsidR="004A0627">
        <w:t xml:space="preserve"> and audits should be periodically conducted</w:t>
      </w:r>
      <w:r w:rsidR="00ED3027">
        <w:t>.</w:t>
      </w:r>
    </w:p>
    <w:p w14:paraId="4733E1D8" w14:textId="77777777" w:rsidR="002B1E29" w:rsidRDefault="002B1E29" w:rsidP="003C3003">
      <w:pPr>
        <w:jc w:val="both"/>
        <w:rPr>
          <w:u w:val="single"/>
        </w:rPr>
      </w:pPr>
    </w:p>
    <w:p w14:paraId="2C6BFD67" w14:textId="77777777" w:rsidR="00A45066" w:rsidRDefault="002B1E29" w:rsidP="003C3003">
      <w:pPr>
        <w:jc w:val="both"/>
        <w:rPr>
          <w:u w:val="single"/>
        </w:rPr>
      </w:pPr>
      <w:r>
        <w:rPr>
          <w:u w:val="single"/>
        </w:rPr>
        <w:t>Appropriate Use</w:t>
      </w:r>
      <w:r w:rsidR="00375978">
        <w:rPr>
          <w:u w:val="single"/>
        </w:rPr>
        <w:t>s</w:t>
      </w:r>
      <w:r>
        <w:rPr>
          <w:u w:val="single"/>
        </w:rPr>
        <w:t xml:space="preserve"> of Data</w:t>
      </w:r>
    </w:p>
    <w:p w14:paraId="45E51B67" w14:textId="007F780F" w:rsidR="00EC6F4F" w:rsidRDefault="003D4E14" w:rsidP="003C3003">
      <w:pPr>
        <w:jc w:val="both"/>
      </w:pPr>
      <w:r>
        <w:t xml:space="preserve">A </w:t>
      </w:r>
      <w:r w:rsidR="00ED3027">
        <w:t>utilitarian perspective often guides</w:t>
      </w:r>
      <w:r w:rsidR="002B1E29" w:rsidRPr="002B1E29">
        <w:t xml:space="preserve"> ethical discussions in </w:t>
      </w:r>
      <w:r w:rsidR="005C40E4">
        <w:t xml:space="preserve">analytics.  However, as Willis stated in 2014, </w:t>
      </w:r>
      <w:r w:rsidR="00ED3027">
        <w:t>“</w:t>
      </w:r>
      <w:r w:rsidR="009F25F7">
        <w:t>…</w:t>
      </w:r>
      <w:r w:rsidR="005C40E4">
        <w:t>d</w:t>
      </w:r>
      <w:r w:rsidR="002B1E29" w:rsidRPr="002B1E29">
        <w:t>etermining the most good for the most people is a responsible way forward, but perhaps not the most comprehensive, especially when assessing potential outcomes</w:t>
      </w:r>
      <w:r w:rsidR="002B1E29">
        <w:t xml:space="preserve">” (EDUCAUSE Review).  </w:t>
      </w:r>
      <w:r w:rsidR="005C40E4">
        <w:t>A primary goal of analytics i</w:t>
      </w:r>
      <w:r w:rsidR="00986740">
        <w:t>s</w:t>
      </w:r>
      <w:r w:rsidR="002B1E29">
        <w:t xml:space="preserve"> to increase student success for the collective student body (current and future)</w:t>
      </w:r>
      <w:r w:rsidR="005C40E4">
        <w:t>.</w:t>
      </w:r>
      <w:r w:rsidR="002B1E29">
        <w:t xml:space="preserve"> </w:t>
      </w:r>
      <w:r w:rsidR="005C40E4">
        <w:t>This is a</w:t>
      </w:r>
      <w:r w:rsidR="00ED3027">
        <w:t xml:space="preserve"> </w:t>
      </w:r>
      <w:r w:rsidR="002B1E29">
        <w:t>utilitarian rationale for the use of educational data</w:t>
      </w:r>
      <w:r w:rsidR="000C36B5">
        <w:t>.</w:t>
      </w:r>
      <w:r w:rsidR="002B1E29">
        <w:t xml:space="preserve">  </w:t>
      </w:r>
      <w:r w:rsidR="00DC65F2">
        <w:t xml:space="preserve">  </w:t>
      </w:r>
      <w:r w:rsidR="00EC6F4F">
        <w:t xml:space="preserve">But there are </w:t>
      </w:r>
      <w:r w:rsidR="00DC65F2">
        <w:t xml:space="preserve">other, less positive, </w:t>
      </w:r>
      <w:r>
        <w:t xml:space="preserve">potential </w:t>
      </w:r>
      <w:r w:rsidR="00DC65F2">
        <w:t>outcomes of analytics</w:t>
      </w:r>
      <w:r w:rsidR="00EC6F4F">
        <w:t xml:space="preserve">.  </w:t>
      </w:r>
    </w:p>
    <w:p w14:paraId="01592719" w14:textId="77777777" w:rsidR="00EC6F4F" w:rsidRDefault="00EC6F4F" w:rsidP="003C3003">
      <w:pPr>
        <w:jc w:val="both"/>
      </w:pPr>
    </w:p>
    <w:p w14:paraId="25E1F7AC" w14:textId="7B1B7E62" w:rsidR="00991FCD" w:rsidRDefault="00555517" w:rsidP="003C3003">
      <w:pPr>
        <w:jc w:val="both"/>
      </w:pPr>
      <w:r>
        <w:t xml:space="preserve">Individuals, </w:t>
      </w:r>
      <w:r w:rsidR="00AE03F8">
        <w:t xml:space="preserve">such as advisers or instructors, </w:t>
      </w:r>
      <w:r>
        <w:t xml:space="preserve">once informed of a student’s predicted level of success, could </w:t>
      </w:r>
      <w:r w:rsidR="00EC6F4F">
        <w:t xml:space="preserve">inadvertently create </w:t>
      </w:r>
      <w:r w:rsidR="00375978">
        <w:t>circumstance</w:t>
      </w:r>
      <w:r w:rsidR="00E363F9">
        <w:t>s</w:t>
      </w:r>
      <w:r w:rsidR="00375978">
        <w:t xml:space="preserve"> that </w:t>
      </w:r>
      <w:r>
        <w:t xml:space="preserve">would cause the </w:t>
      </w:r>
      <w:r w:rsidR="00375978">
        <w:t xml:space="preserve">student </w:t>
      </w:r>
      <w:r>
        <w:t xml:space="preserve">to perform to </w:t>
      </w:r>
      <w:r w:rsidR="00375978">
        <w:t>the predicted level</w:t>
      </w:r>
      <w:r w:rsidR="00E363F9">
        <w:t xml:space="preserve"> by</w:t>
      </w:r>
      <w:r w:rsidR="00991FCD">
        <w:t>, for example,</w:t>
      </w:r>
      <w:r w:rsidR="00E363F9">
        <w:t xml:space="preserve"> unintentionally communicating the belief that the student is unlikely to succeed</w:t>
      </w:r>
      <w:r w:rsidR="00375978">
        <w:t>.</w:t>
      </w:r>
      <w:r w:rsidR="00EC6F4F">
        <w:t xml:space="preserve"> </w:t>
      </w:r>
      <w:r>
        <w:t xml:space="preserve">Therefore, </w:t>
      </w:r>
      <w:r w:rsidR="004B68A4">
        <w:t>might</w:t>
      </w:r>
      <w:r w:rsidR="00EC6F4F">
        <w:t xml:space="preserve"> a self-fulfilling prophesy </w:t>
      </w:r>
      <w:r w:rsidR="004B68A4">
        <w:t xml:space="preserve">be </w:t>
      </w:r>
      <w:r w:rsidR="00EC6F4F">
        <w:t xml:space="preserve">created when staff, faculty or students are made aware of predicted risk?  </w:t>
      </w:r>
      <w:r w:rsidR="00593597">
        <w:t>Or w</w:t>
      </w:r>
      <w:r w:rsidR="00EC6F4F">
        <w:t>hen students a</w:t>
      </w:r>
      <w:r w:rsidR="00593597">
        <w:t xml:space="preserve">re targeted for specific intervention(s) based on </w:t>
      </w:r>
      <w:r w:rsidR="00991FCD">
        <w:t xml:space="preserve">past performance or </w:t>
      </w:r>
      <w:r w:rsidR="00593597">
        <w:t xml:space="preserve">demographics </w:t>
      </w:r>
      <w:r w:rsidR="003119A3">
        <w:t>associated with attrition</w:t>
      </w:r>
      <w:r w:rsidR="00593597">
        <w:t xml:space="preserve">?  On </w:t>
      </w:r>
      <w:r>
        <w:t xml:space="preserve">the other hand, </w:t>
      </w:r>
      <w:r w:rsidR="004808F4">
        <w:t xml:space="preserve">as Slade et al. pointed out, </w:t>
      </w:r>
      <w:r>
        <w:t>institutions</w:t>
      </w:r>
      <w:r w:rsidR="00593597">
        <w:t xml:space="preserve"> have an obligation to </w:t>
      </w:r>
      <w:r w:rsidR="00CC64C0">
        <w:t>“</w:t>
      </w:r>
      <w:r w:rsidR="000C36B5">
        <w:t>…</w:t>
      </w:r>
      <w:r w:rsidR="00593597">
        <w:t xml:space="preserve">act on </w:t>
      </w:r>
      <w:r w:rsidR="00CC64C0">
        <w:t xml:space="preserve">knowledge </w:t>
      </w:r>
      <w:r w:rsidR="00593597">
        <w:t xml:space="preserve">gained through </w:t>
      </w:r>
      <w:r w:rsidR="000C36B5">
        <w:t>analytics”</w:t>
      </w:r>
      <w:r w:rsidR="00CC64C0">
        <w:t xml:space="preserve">.  If </w:t>
      </w:r>
      <w:r>
        <w:t>there is</w:t>
      </w:r>
      <w:r w:rsidR="00CC64C0">
        <w:t xml:space="preserve"> evidence that, for example, </w:t>
      </w:r>
      <w:r w:rsidR="00CC64C0">
        <w:lastRenderedPageBreak/>
        <w:t xml:space="preserve">intervening with students predicted to be at risk for </w:t>
      </w:r>
      <w:r>
        <w:t>poor</w:t>
      </w:r>
      <w:r w:rsidR="00CC64C0">
        <w:t xml:space="preserve"> academic performance could significantly improve </w:t>
      </w:r>
      <w:r w:rsidR="00757C1D">
        <w:t xml:space="preserve">their </w:t>
      </w:r>
      <w:r>
        <w:t>learning</w:t>
      </w:r>
      <w:r w:rsidR="00CC64C0">
        <w:t xml:space="preserve">, </w:t>
      </w:r>
      <w:r>
        <w:t xml:space="preserve">there is </w:t>
      </w:r>
      <w:r w:rsidR="006F722E">
        <w:t>an ethical</w:t>
      </w:r>
      <w:r w:rsidR="00CC64C0">
        <w:t xml:space="preserve"> </w:t>
      </w:r>
      <w:r w:rsidR="00757C1D">
        <w:t>obligation</w:t>
      </w:r>
      <w:r w:rsidR="00CC64C0">
        <w:t xml:space="preserve"> to </w:t>
      </w:r>
      <w:r>
        <w:t>intervene</w:t>
      </w:r>
      <w:r w:rsidR="00757C1D">
        <w:t xml:space="preserve">.  </w:t>
      </w:r>
    </w:p>
    <w:p w14:paraId="71B0A908" w14:textId="77777777" w:rsidR="00203206" w:rsidRDefault="00203206" w:rsidP="003C3003">
      <w:pPr>
        <w:jc w:val="both"/>
      </w:pPr>
    </w:p>
    <w:p w14:paraId="303C23AF" w14:textId="68E74B36" w:rsidR="00D944EB" w:rsidRDefault="00757C1D" w:rsidP="003C3003">
      <w:pPr>
        <w:jc w:val="both"/>
      </w:pPr>
      <w:r>
        <w:t>This obligation is reinforced by federal regulations surrounding financial aid and employment after graduation</w:t>
      </w:r>
      <w:r w:rsidR="003119A3">
        <w:t xml:space="preserve"> that require institutions to report employment rates and wages for certificates/degrees for which students may use </w:t>
      </w:r>
      <w:r w:rsidR="00D944EB">
        <w:t>federal</w:t>
      </w:r>
      <w:r w:rsidR="003119A3">
        <w:t xml:space="preserve"> funds</w:t>
      </w:r>
      <w:r>
        <w:t xml:space="preserve">. </w:t>
      </w:r>
      <w:r w:rsidR="00DC65F2">
        <w:t xml:space="preserve"> The current state of analytics implies that the risk of creating a self-fulfilling prophesy is overshadowed by the possible individual/collective benefit of an ethical analytics implementation</w:t>
      </w:r>
      <w:r w:rsidR="0070793D">
        <w:t xml:space="preserve"> and the concurrent risk of failing to fulfill the institution’s ethical responsibility to use available information to optimize students’ chances for academic success</w:t>
      </w:r>
      <w:r w:rsidR="00DC65F2">
        <w:t>.</w:t>
      </w:r>
      <w:r w:rsidR="006F2AFA">
        <w:t xml:space="preserve"> </w:t>
      </w:r>
    </w:p>
    <w:p w14:paraId="22DF47D8" w14:textId="77777777" w:rsidR="00D944EB" w:rsidRDefault="00D944EB" w:rsidP="003C3003">
      <w:pPr>
        <w:jc w:val="both"/>
      </w:pPr>
    </w:p>
    <w:p w14:paraId="543D940A" w14:textId="70EB0A0E" w:rsidR="00AF67FE" w:rsidRDefault="00D944EB" w:rsidP="003C3003">
      <w:pPr>
        <w:jc w:val="both"/>
      </w:pPr>
      <w:r>
        <w:t>Also assuaging fear of possible misuse of analytics is the recognition that advisors, instructors, and other institutional officials have always had access to data that could have been misused to assume the worst or create self-fulfilling prophecies</w:t>
      </w:r>
      <w:r w:rsidR="006720A1">
        <w:t xml:space="preserve"> regarding students</w:t>
      </w:r>
      <w:r>
        <w:t>.</w:t>
      </w:r>
      <w:r w:rsidR="006720A1">
        <w:t xml:space="preserve"> </w:t>
      </w:r>
      <w:r>
        <w:t>That is</w:t>
      </w:r>
      <w:r w:rsidR="006720A1">
        <w:t xml:space="preserve">, higher education institutions </w:t>
      </w:r>
      <w:r>
        <w:t xml:space="preserve">made data such as prior coursework grades, High School GPAs, entrance exam and placement test scores available to university </w:t>
      </w:r>
      <w:r w:rsidR="009F75F2">
        <w:t>faculty/staff</w:t>
      </w:r>
      <w:r>
        <w:t xml:space="preserve"> long before </w:t>
      </w:r>
      <w:r w:rsidR="006720A1">
        <w:t>big data analytics</w:t>
      </w:r>
      <w:r>
        <w:t xml:space="preserve"> existed. To </w:t>
      </w:r>
      <w:r w:rsidR="006720A1">
        <w:t>mitigate risks of these data being misused</w:t>
      </w:r>
      <w:r w:rsidR="009F75F2">
        <w:t xml:space="preserve"> institutions have long </w:t>
      </w:r>
      <w:r w:rsidR="006720A1">
        <w:t>held policies and procedures regarding access to and use of student information</w:t>
      </w:r>
      <w:r w:rsidR="008422EB">
        <w:t>.</w:t>
      </w:r>
    </w:p>
    <w:p w14:paraId="5965390C" w14:textId="77777777" w:rsidR="00AF67FE" w:rsidRDefault="00AF67FE" w:rsidP="003C3003">
      <w:pPr>
        <w:jc w:val="both"/>
      </w:pPr>
    </w:p>
    <w:p w14:paraId="1B4A5881" w14:textId="52A132C5" w:rsidR="00757C1D" w:rsidRDefault="009F75F2" w:rsidP="003C3003">
      <w:pPr>
        <w:jc w:val="both"/>
      </w:pPr>
      <w:r>
        <w:t>Even so</w:t>
      </w:r>
      <w:r w:rsidR="00DC65F2">
        <w:t xml:space="preserve">, </w:t>
      </w:r>
      <w:r w:rsidR="001F371C">
        <w:t>carefully crafted</w:t>
      </w:r>
      <w:r w:rsidR="00222FFF">
        <w:t xml:space="preserve"> messaging to staff, faculty and student</w:t>
      </w:r>
      <w:r w:rsidR="00241FD1">
        <w:t>s is a must when employing analytics</w:t>
      </w:r>
      <w:r w:rsidR="001F371C">
        <w:t>.</w:t>
      </w:r>
      <w:r w:rsidR="00E52DB1">
        <w:t xml:space="preserve"> How do we ensure students do no</w:t>
      </w:r>
      <w:r w:rsidR="00AF67FE">
        <w:t>t feel they have been reduced to a number or a predictive score</w:t>
      </w:r>
      <w:r w:rsidR="001F371C">
        <w:t xml:space="preserve"> or that circumstances beyond their control render them unlikely to graduate</w:t>
      </w:r>
      <w:r w:rsidR="00AF67FE">
        <w:t xml:space="preserve">?  How can we use the information we generate through analytics to create meaningful </w:t>
      </w:r>
      <w:r w:rsidR="001F371C">
        <w:t xml:space="preserve">and productive </w:t>
      </w:r>
      <w:r w:rsidR="00AF67FE">
        <w:t xml:space="preserve">conversations?  How can we use this information to most efficiently guide students through their educational experience?  Analytics must be employed </w:t>
      </w:r>
      <w:r w:rsidR="003D4E14">
        <w:t xml:space="preserve">with caution and in </w:t>
      </w:r>
      <w:r w:rsidR="00761994">
        <w:t xml:space="preserve">broad </w:t>
      </w:r>
      <w:r w:rsidR="003D4E14">
        <w:t>context in order to</w:t>
      </w:r>
      <w:r w:rsidR="008422EB">
        <w:t xml:space="preserve"> be </w:t>
      </w:r>
      <w:r w:rsidR="003D4E14">
        <w:t xml:space="preserve">effective.  </w:t>
      </w:r>
      <w:r w:rsidR="00AF67FE">
        <w:t xml:space="preserve"> </w:t>
      </w:r>
      <w:r w:rsidR="00555517">
        <w:t xml:space="preserve"> </w:t>
      </w:r>
    </w:p>
    <w:p w14:paraId="0E3209DC" w14:textId="77777777" w:rsidR="00BB1FBB" w:rsidRDefault="00BB1FBB" w:rsidP="003C3003">
      <w:pPr>
        <w:jc w:val="both"/>
      </w:pPr>
    </w:p>
    <w:p w14:paraId="30B0EADB" w14:textId="0D2589EF" w:rsidR="00BB1FBB" w:rsidRDefault="00FD501F" w:rsidP="003C3003">
      <w:pPr>
        <w:jc w:val="both"/>
      </w:pPr>
      <w:r>
        <w:t>In addition to analysis</w:t>
      </w:r>
      <w:r w:rsidR="000C7D36">
        <w:t xml:space="preserve"> of student demographics</w:t>
      </w:r>
      <w:r w:rsidR="00864018">
        <w:t xml:space="preserve">, curriculum, </w:t>
      </w:r>
      <w:r w:rsidR="00971C2A">
        <w:t>learning,</w:t>
      </w:r>
      <w:r w:rsidR="00F90B60">
        <w:t xml:space="preserve"> academic support programs,</w:t>
      </w:r>
      <w:r w:rsidR="00971C2A">
        <w:t xml:space="preserve"> </w:t>
      </w:r>
      <w:r w:rsidR="00864018">
        <w:t xml:space="preserve">and other facets of the </w:t>
      </w:r>
      <w:r w:rsidR="00971C2A">
        <w:t xml:space="preserve">student experience, </w:t>
      </w:r>
      <w:r w:rsidR="00BB1FBB">
        <w:t>institution</w:t>
      </w:r>
      <w:r w:rsidR="00864018">
        <w:t xml:space="preserve">s </w:t>
      </w:r>
      <w:r w:rsidR="00971C2A">
        <w:t xml:space="preserve">should use data to </w:t>
      </w:r>
      <w:r w:rsidR="00BB1FBB">
        <w:t xml:space="preserve">continuously assess </w:t>
      </w:r>
      <w:r w:rsidR="00864018">
        <w:t xml:space="preserve">the </w:t>
      </w:r>
      <w:r w:rsidR="00BB1FBB">
        <w:t xml:space="preserve">effectiveness </w:t>
      </w:r>
      <w:r w:rsidR="00864018">
        <w:t xml:space="preserve">of policies, </w:t>
      </w:r>
      <w:r w:rsidR="00B57A0F">
        <w:t>procedures</w:t>
      </w:r>
      <w:r w:rsidR="00864018">
        <w:t xml:space="preserve">, </w:t>
      </w:r>
      <w:r w:rsidR="00424D2C">
        <w:t xml:space="preserve">programs, services, </w:t>
      </w:r>
      <w:r w:rsidR="00864018">
        <w:t>and initiatives</w:t>
      </w:r>
      <w:r w:rsidR="00B57A0F">
        <w:t xml:space="preserve">.  </w:t>
      </w:r>
      <w:r w:rsidR="00424D2C">
        <w:t xml:space="preserve">There is an institutional responsibility, </w:t>
      </w:r>
      <w:r w:rsidR="00971C2A">
        <w:t xml:space="preserve">especially </w:t>
      </w:r>
      <w:r w:rsidR="00424D2C">
        <w:t>with scarce resources</w:t>
      </w:r>
      <w:r w:rsidR="00971C2A">
        <w:t xml:space="preserve"> </w:t>
      </w:r>
      <w:r w:rsidR="000C7D36">
        <w:t>and escalating</w:t>
      </w:r>
      <w:r w:rsidR="00971C2A">
        <w:t xml:space="preserve"> costs</w:t>
      </w:r>
      <w:r w:rsidR="00424D2C">
        <w:t>, to complete this type of introspective examination</w:t>
      </w:r>
      <w:r w:rsidR="009F75F2">
        <w:t xml:space="preserve"> regularly</w:t>
      </w:r>
      <w:r w:rsidR="00424D2C">
        <w:t xml:space="preserve">.  </w:t>
      </w:r>
      <w:r w:rsidR="000C7D36">
        <w:t xml:space="preserve">Only effective practices should be maintained.  </w:t>
      </w:r>
      <w:r w:rsidR="00424D2C">
        <w:t xml:space="preserve">Further, </w:t>
      </w:r>
      <w:r w:rsidR="001F371C">
        <w:t xml:space="preserve">as articulated at “The Asilomar Convention”, </w:t>
      </w:r>
      <w:r w:rsidR="00424D2C">
        <w:t xml:space="preserve">institutions </w:t>
      </w:r>
      <w:r w:rsidR="00864018">
        <w:t xml:space="preserve">have a responsibility to share </w:t>
      </w:r>
      <w:r w:rsidR="00424D2C">
        <w:t>their evaluative outcomes</w:t>
      </w:r>
      <w:r w:rsidR="00864018">
        <w:t xml:space="preserve"> to </w:t>
      </w:r>
      <w:r w:rsidR="000B7EAF">
        <w:t xml:space="preserve">help </w:t>
      </w:r>
      <w:r w:rsidR="00864018">
        <w:t xml:space="preserve">shape the effectiveness </w:t>
      </w:r>
      <w:r w:rsidR="000128E0">
        <w:t>of higher education</w:t>
      </w:r>
      <w:r w:rsidR="000C7D36">
        <w:t xml:space="preserve"> overall</w:t>
      </w:r>
      <w:r w:rsidR="000128E0">
        <w:t xml:space="preserve">.  Students </w:t>
      </w:r>
      <w:r w:rsidR="000B7EAF">
        <w:t xml:space="preserve">have many options for </w:t>
      </w:r>
      <w:r w:rsidR="000128E0">
        <w:t>postsecondary education</w:t>
      </w:r>
      <w:r w:rsidR="00424D2C">
        <w:t xml:space="preserve">; </w:t>
      </w:r>
      <w:r w:rsidR="000128E0">
        <w:t>c</w:t>
      </w:r>
      <w:r w:rsidR="000B7EAF">
        <w:t xml:space="preserve">ontinuous </w:t>
      </w:r>
      <w:r w:rsidR="000C7D36">
        <w:t>analysis</w:t>
      </w:r>
      <w:r w:rsidR="000B7EAF">
        <w:t xml:space="preserve"> of programs </w:t>
      </w:r>
      <w:r w:rsidR="00864018">
        <w:t xml:space="preserve">and services </w:t>
      </w:r>
      <w:r w:rsidR="000128E0">
        <w:t xml:space="preserve">can be powerful in </w:t>
      </w:r>
      <w:r w:rsidR="00864018">
        <w:t>help</w:t>
      </w:r>
      <w:r w:rsidR="000128E0">
        <w:t xml:space="preserve">ing </w:t>
      </w:r>
      <w:r w:rsidR="00864018">
        <w:t xml:space="preserve">Reinvention Center member institutions to </w:t>
      </w:r>
      <w:r w:rsidR="000128E0">
        <w:t>demonstrate</w:t>
      </w:r>
      <w:r w:rsidR="00864018">
        <w:t xml:space="preserve"> the value, even in a digital age, </w:t>
      </w:r>
      <w:r w:rsidR="00971C2A">
        <w:t xml:space="preserve">of the education offered only at a </w:t>
      </w:r>
      <w:r w:rsidR="00864018">
        <w:t>residential research institution.</w:t>
      </w:r>
      <w:r w:rsidR="000B7EAF">
        <w:t xml:space="preserve">  </w:t>
      </w:r>
    </w:p>
    <w:p w14:paraId="0E2E944D" w14:textId="77777777" w:rsidR="00790EB4" w:rsidRDefault="00790EB4" w:rsidP="003C3003">
      <w:pPr>
        <w:jc w:val="both"/>
      </w:pPr>
    </w:p>
    <w:p w14:paraId="2BFBFF0D" w14:textId="77777777" w:rsidR="00A45066" w:rsidRPr="00A45066" w:rsidRDefault="00A45066" w:rsidP="003C3003">
      <w:pPr>
        <w:jc w:val="both"/>
        <w:rPr>
          <w:u w:val="single"/>
        </w:rPr>
      </w:pPr>
      <w:r>
        <w:rPr>
          <w:u w:val="single"/>
        </w:rPr>
        <w:t>Distribution</w:t>
      </w:r>
      <w:r w:rsidR="00757C1D">
        <w:rPr>
          <w:u w:val="single"/>
        </w:rPr>
        <w:t xml:space="preserve"> and Reporting</w:t>
      </w:r>
      <w:r w:rsidR="00971C2A">
        <w:rPr>
          <w:u w:val="single"/>
        </w:rPr>
        <w:t xml:space="preserve"> of Analytics</w:t>
      </w:r>
    </w:p>
    <w:p w14:paraId="7D746E96" w14:textId="61833E80" w:rsidR="007116F2" w:rsidRDefault="007116F2" w:rsidP="007116F2">
      <w:pPr>
        <w:jc w:val="both"/>
      </w:pPr>
      <w:r>
        <w:t xml:space="preserve">While </w:t>
      </w:r>
      <w:r w:rsidR="00266327">
        <w:t>campuses</w:t>
      </w:r>
      <w:r>
        <w:t xml:space="preserve"> have the capability of </w:t>
      </w:r>
      <w:r w:rsidR="00266327">
        <w:t xml:space="preserve">merging data from disparate sources and can </w:t>
      </w:r>
      <w:r>
        <w:t>analyz</w:t>
      </w:r>
      <w:r w:rsidR="00266327">
        <w:t>e</w:t>
      </w:r>
      <w:r>
        <w:t xml:space="preserve"> complex data</w:t>
      </w:r>
      <w:r w:rsidR="00266327">
        <w:t xml:space="preserve"> sets, </w:t>
      </w:r>
      <w:r>
        <w:t xml:space="preserve">the </w:t>
      </w:r>
      <w:r w:rsidR="00266327">
        <w:t xml:space="preserve">optimal </w:t>
      </w:r>
      <w:r>
        <w:t xml:space="preserve">benefit is achieved </w:t>
      </w:r>
      <w:r w:rsidR="00843621">
        <w:t xml:space="preserve">only </w:t>
      </w:r>
      <w:r>
        <w:t xml:space="preserve">when the </w:t>
      </w:r>
      <w:r w:rsidR="000655D2">
        <w:t xml:space="preserve">data and results are transformed into usable </w:t>
      </w:r>
      <w:r>
        <w:t>information</w:t>
      </w:r>
      <w:r w:rsidR="000655D2">
        <w:t xml:space="preserve">.  </w:t>
      </w:r>
      <w:r w:rsidR="00005C97">
        <w:t>I</w:t>
      </w:r>
      <w:r w:rsidR="000655D2">
        <w:t>nformation must be</w:t>
      </w:r>
      <w:r>
        <w:t xml:space="preserve"> presented in meaningful ways </w:t>
      </w:r>
      <w:r w:rsidR="009F25F7">
        <w:t>in order to</w:t>
      </w:r>
      <w:r>
        <w:t xml:space="preserve"> </w:t>
      </w:r>
      <w:r w:rsidR="000655D2">
        <w:t>inform conversations and decision-making.  This requires tailoring results for specific audiences and specific conversations.  The days of producing one</w:t>
      </w:r>
      <w:r w:rsidR="002F33BF">
        <w:t>-</w:t>
      </w:r>
      <w:r w:rsidR="000655D2">
        <w:t>size</w:t>
      </w:r>
      <w:r w:rsidR="002F33BF">
        <w:t>-</w:t>
      </w:r>
      <w:r w:rsidR="000655D2">
        <w:t>fits</w:t>
      </w:r>
      <w:r w:rsidR="002F33BF">
        <w:t>-</w:t>
      </w:r>
      <w:r w:rsidR="000655D2">
        <w:t xml:space="preserve">all retrospective reports each semester/year are over. Institutional researchers/analysts have a </w:t>
      </w:r>
      <w:r>
        <w:t xml:space="preserve">responsibility </w:t>
      </w:r>
      <w:r w:rsidR="009F25F7">
        <w:t xml:space="preserve">to </w:t>
      </w:r>
      <w:r>
        <w:t xml:space="preserve">provide data in </w:t>
      </w:r>
      <w:r w:rsidR="000655D2">
        <w:t xml:space="preserve">far more timely and relevant ways than in the past.  Information must be </w:t>
      </w:r>
      <w:r w:rsidR="00074DB9">
        <w:t>clear, concise</w:t>
      </w:r>
      <w:r w:rsidR="001045A7">
        <w:t>, meaningful</w:t>
      </w:r>
      <w:r w:rsidR="00074DB9">
        <w:t xml:space="preserve"> and, above all, accurate.</w:t>
      </w:r>
      <w:r>
        <w:t xml:space="preserve">  </w:t>
      </w:r>
      <w:r w:rsidR="00074DB9">
        <w:t>It must inform about insights, trends, methodology and the practical significance of findings.  Further, connections must be made between the results and institutional context</w:t>
      </w:r>
      <w:r w:rsidR="001A1FA0">
        <w:t>s such as budget or major initiatives</w:t>
      </w:r>
      <w:r w:rsidR="00074DB9">
        <w:t>.</w:t>
      </w:r>
      <w:r>
        <w:t xml:space="preserve">  </w:t>
      </w:r>
    </w:p>
    <w:p w14:paraId="76C35AAA" w14:textId="77777777" w:rsidR="007116F2" w:rsidRDefault="007116F2" w:rsidP="007116F2">
      <w:pPr>
        <w:jc w:val="both"/>
      </w:pPr>
    </w:p>
    <w:p w14:paraId="0A9863CD" w14:textId="77777777" w:rsidR="001045A7" w:rsidRDefault="00367126" w:rsidP="007116F2">
      <w:pPr>
        <w:jc w:val="both"/>
      </w:pPr>
      <w:r>
        <w:lastRenderedPageBreak/>
        <w:t>In addition, individualized feedback to students and/or faculty should be</w:t>
      </w:r>
      <w:r w:rsidR="005B2C3C">
        <w:t xml:space="preserve"> consistently</w:t>
      </w:r>
      <w:r>
        <w:t xml:space="preserve"> available.  For example, a faculty member should have access to </w:t>
      </w:r>
      <w:r w:rsidR="00F414B9">
        <w:t xml:space="preserve">timely </w:t>
      </w:r>
      <w:r>
        <w:t>course analytics to better understand the impact of pedagogical ad</w:t>
      </w:r>
      <w:r w:rsidR="00F414B9">
        <w:t>justments or curricular changes</w:t>
      </w:r>
      <w:r w:rsidR="007C0D23">
        <w:t>. S</w:t>
      </w:r>
      <w:r>
        <w:t xml:space="preserve">tudents should be able to see </w:t>
      </w:r>
      <w:r w:rsidR="009C2815">
        <w:t>whether</w:t>
      </w:r>
      <w:r>
        <w:t xml:space="preserve"> changes in specific study habits </w:t>
      </w:r>
      <w:r w:rsidR="00F414B9">
        <w:t>were</w:t>
      </w:r>
      <w:r>
        <w:t xml:space="preserve"> associated with increased academic success.</w:t>
      </w:r>
      <w:r w:rsidR="007116F2">
        <w:t xml:space="preserve">  </w:t>
      </w:r>
      <w:r w:rsidR="001045A7">
        <w:t>Making these connections is</w:t>
      </w:r>
      <w:r w:rsidR="00F414B9">
        <w:t xml:space="preserve"> </w:t>
      </w:r>
      <w:r w:rsidR="001045A7">
        <w:t>a</w:t>
      </w:r>
      <w:r w:rsidR="00F414B9">
        <w:t xml:space="preserve"> critical </w:t>
      </w:r>
      <w:r w:rsidR="001045A7">
        <w:t xml:space="preserve">piece of </w:t>
      </w:r>
      <w:r w:rsidR="007C0D23">
        <w:t>successful analytics</w:t>
      </w:r>
      <w:r w:rsidR="00F414B9">
        <w:t xml:space="preserve"> because they invite the campus community to be involved and to envisio</w:t>
      </w:r>
      <w:r w:rsidR="00E14E7B">
        <w:t xml:space="preserve">n how analytics can support </w:t>
      </w:r>
      <w:r w:rsidR="00E27EE9">
        <w:t>community members’</w:t>
      </w:r>
      <w:r w:rsidR="00E14E7B">
        <w:t xml:space="preserve"> individual goals</w:t>
      </w:r>
      <w:r w:rsidR="00F414B9">
        <w:t>.</w:t>
      </w:r>
      <w:r w:rsidR="00C10523">
        <w:t xml:space="preserve">  </w:t>
      </w:r>
    </w:p>
    <w:p w14:paraId="19906D3B" w14:textId="77777777" w:rsidR="001045A7" w:rsidRDefault="001045A7" w:rsidP="007116F2">
      <w:pPr>
        <w:jc w:val="both"/>
      </w:pPr>
    </w:p>
    <w:p w14:paraId="3F7A146F" w14:textId="5CF1AB52" w:rsidR="00F414B9" w:rsidRDefault="007C0D23" w:rsidP="007116F2">
      <w:pPr>
        <w:jc w:val="both"/>
      </w:pPr>
      <w:r>
        <w:t>T</w:t>
      </w:r>
      <w:r w:rsidR="00F414B9">
        <w:t>he</w:t>
      </w:r>
      <w:r w:rsidR="00E14E7B">
        <w:t xml:space="preserve">se types of </w:t>
      </w:r>
      <w:r>
        <w:t xml:space="preserve">projects also </w:t>
      </w:r>
      <w:r w:rsidR="00F414B9">
        <w:t xml:space="preserve">allow </w:t>
      </w:r>
      <w:r>
        <w:t xml:space="preserve">research </w:t>
      </w:r>
      <w:r w:rsidR="00F414B9">
        <w:t xml:space="preserve">institutions to </w:t>
      </w:r>
      <w:r w:rsidR="000D6E7E">
        <w:t>advance</w:t>
      </w:r>
      <w:r>
        <w:t xml:space="preserve"> the scholarship of teaching, learning, and student success.  Research institutions </w:t>
      </w:r>
      <w:r w:rsidR="00C10523">
        <w:t xml:space="preserve">are in a unique position to do so.  They </w:t>
      </w:r>
      <w:r>
        <w:t xml:space="preserve">can highlight the </w:t>
      </w:r>
      <w:r w:rsidR="00C10523">
        <w:t>evidence-based practices that deepen student learning on their campus; they can help faculty to integrate their teaching and research responsibilities by encouraging research related to discipline</w:t>
      </w:r>
      <w:r w:rsidR="00E73281">
        <w:t>-</w:t>
      </w:r>
      <w:r w:rsidR="00C10523">
        <w:t>specific learning</w:t>
      </w:r>
      <w:r w:rsidR="00E73281">
        <w:t>;</w:t>
      </w:r>
      <w:r w:rsidR="00C10523">
        <w:t xml:space="preserve"> and they can </w:t>
      </w:r>
      <w:r w:rsidR="00F414B9">
        <w:t>prioritiz</w:t>
      </w:r>
      <w:r w:rsidR="003E4A2B">
        <w:t>e</w:t>
      </w:r>
      <w:r w:rsidR="00F414B9">
        <w:t xml:space="preserve"> student learning</w:t>
      </w:r>
      <w:r w:rsidR="003E4A2B">
        <w:t xml:space="preserve"> by integrating the findings from such research into curricula, instructional delivery, and professional development</w:t>
      </w:r>
      <w:r w:rsidR="00F414B9">
        <w:t>.</w:t>
      </w:r>
      <w:r w:rsidR="001045A7">
        <w:t xml:space="preserve">  The Reinvention Center member institutions have a responsibility to be leaders in advancing these areas of scholarship.  </w:t>
      </w:r>
    </w:p>
    <w:p w14:paraId="496EB6B9" w14:textId="77777777" w:rsidR="00BC09BE" w:rsidRDefault="00BC09BE" w:rsidP="003C3003">
      <w:pPr>
        <w:jc w:val="both"/>
      </w:pPr>
    </w:p>
    <w:p w14:paraId="3764AD3A" w14:textId="6D3E131B" w:rsidR="006F2AFA" w:rsidRPr="006F2AFA" w:rsidRDefault="00005C97" w:rsidP="003C3003">
      <w:pPr>
        <w:jc w:val="both"/>
        <w:rPr>
          <w:u w:val="single"/>
        </w:rPr>
      </w:pPr>
      <w:r>
        <w:rPr>
          <w:u w:val="single"/>
        </w:rPr>
        <w:t>Proposed Guidelines</w:t>
      </w:r>
    </w:p>
    <w:p w14:paraId="2C5651A1" w14:textId="38BA5046" w:rsidR="006F2AFA" w:rsidRDefault="006F2AFA" w:rsidP="006F2AFA">
      <w:pPr>
        <w:jc w:val="both"/>
      </w:pPr>
      <w:r>
        <w:t xml:space="preserve">Overall, </w:t>
      </w:r>
      <w:r w:rsidR="00C10523">
        <w:t xml:space="preserve">the Reinvention Center member </w:t>
      </w:r>
      <w:r>
        <w:t>universities have many faculty, staff and administrators dedicated to promoting student success</w:t>
      </w:r>
      <w:r w:rsidR="00C10523">
        <w:t xml:space="preserve"> and deep learning through the informed use of analytics.</w:t>
      </w:r>
      <w:r>
        <w:t xml:space="preserve">  </w:t>
      </w:r>
      <w:r w:rsidR="00C10523">
        <w:t>Accompanying this dedication is an abundance of data</w:t>
      </w:r>
      <w:r w:rsidR="00005C97">
        <w:t xml:space="preserve">, </w:t>
      </w:r>
      <w:r w:rsidR="00C10523">
        <w:t xml:space="preserve">far more than at any point in the history of postsecondary education.  </w:t>
      </w:r>
      <w:r w:rsidR="000A7D44">
        <w:t>In addition</w:t>
      </w:r>
      <w:r w:rsidR="00C10523">
        <w:t xml:space="preserve"> to the more traditional course demographics, </w:t>
      </w:r>
      <w:r w:rsidR="000A7D44">
        <w:t xml:space="preserve">expanded data on </w:t>
      </w:r>
      <w:r w:rsidR="00C10523">
        <w:t xml:space="preserve">academic </w:t>
      </w:r>
      <w:r w:rsidR="007519FD">
        <w:t>preparation</w:t>
      </w:r>
      <w:r w:rsidR="00C10523">
        <w:t xml:space="preserve"> and</w:t>
      </w:r>
      <w:r w:rsidR="007519FD">
        <w:t xml:space="preserve"> student success</w:t>
      </w:r>
      <w:r w:rsidR="000A7D44">
        <w:t xml:space="preserve"> are also available within a given semester, rather than only after students have completed courses</w:t>
      </w:r>
      <w:r w:rsidR="007519FD">
        <w:t xml:space="preserve">.  </w:t>
      </w:r>
      <w:r>
        <w:t xml:space="preserve">Given this landscape, the following guidelines are proposed as a means to drive </w:t>
      </w:r>
      <w:r w:rsidR="007519FD">
        <w:t>the meaningful and ethical</w:t>
      </w:r>
      <w:r>
        <w:t xml:space="preserve"> use of data for analytics in higher education</w:t>
      </w:r>
      <w:r w:rsidR="007442C1">
        <w:t>:</w:t>
      </w:r>
    </w:p>
    <w:p w14:paraId="5AB3D490" w14:textId="77777777" w:rsidR="000D6E7E" w:rsidRDefault="000D6E7E" w:rsidP="006F2AFA">
      <w:pPr>
        <w:jc w:val="both"/>
      </w:pPr>
    </w:p>
    <w:p w14:paraId="068652E0" w14:textId="509FC497" w:rsidR="006F2AFA" w:rsidRDefault="00B42C63" w:rsidP="006F2AFA">
      <w:pPr>
        <w:pStyle w:val="ListParagraph"/>
        <w:numPr>
          <w:ilvl w:val="0"/>
          <w:numId w:val="5"/>
        </w:numPr>
        <w:jc w:val="both"/>
      </w:pPr>
      <w:r>
        <w:t xml:space="preserve">Institutions should </w:t>
      </w:r>
      <w:r w:rsidR="009F25F7">
        <w:t>establish</w:t>
      </w:r>
      <w:r>
        <w:t>, if there is not one already, a Data Governance committee with oversight of data collection, architecture, ethical use, and meaningful reporting.  Membership should include IT and data authorities from each of the major functional areas on campus</w:t>
      </w:r>
      <w:r w:rsidR="003534DB">
        <w:t>, as well as representatives from units and groups using such data to improve students’ educational experiences, e.g., advising, student affairs, and academic support programs; curriculum and undergraduate affairs committees; and assessment and professional development offices</w:t>
      </w:r>
      <w:r>
        <w:t>.</w:t>
      </w:r>
      <w:r w:rsidR="00CE0B8B">
        <w:t xml:space="preserve"> Institutional legal counsel should be involved or consulted regarding privacy and confidentiality issues.</w:t>
      </w:r>
    </w:p>
    <w:p w14:paraId="6A26167E" w14:textId="2F536512" w:rsidR="00F74D7E" w:rsidRDefault="00B42C63" w:rsidP="006F2AFA">
      <w:pPr>
        <w:pStyle w:val="ListParagraph"/>
        <w:numPr>
          <w:ilvl w:val="0"/>
          <w:numId w:val="5"/>
        </w:numPr>
        <w:jc w:val="both"/>
      </w:pPr>
      <w:r>
        <w:t>Institutions should be fully t</w:t>
      </w:r>
      <w:r w:rsidR="00F74D7E">
        <w:t>ransparen</w:t>
      </w:r>
      <w:r>
        <w:t>t</w:t>
      </w:r>
      <w:r w:rsidR="00F74D7E">
        <w:t xml:space="preserve"> </w:t>
      </w:r>
      <w:r w:rsidR="007519FD">
        <w:t>with</w:t>
      </w:r>
      <w:r w:rsidR="00F74D7E">
        <w:t xml:space="preserve"> students, faculty and staff</w:t>
      </w:r>
      <w:r>
        <w:t xml:space="preserve"> about what types of data are collected, where/how it is stored and how the threat of a data breach </w:t>
      </w:r>
      <w:r w:rsidR="00E52DB1">
        <w:t xml:space="preserve">is </w:t>
      </w:r>
      <w:r>
        <w:t>mitigated.  This could be integrated with FERPA acknowledgements and training.</w:t>
      </w:r>
      <w:r w:rsidR="00970F87">
        <w:t xml:space="preserve">  </w:t>
      </w:r>
    </w:p>
    <w:p w14:paraId="5239C5AD" w14:textId="49596DD5" w:rsidR="00F74D7E" w:rsidRDefault="00B42C63" w:rsidP="006F2AFA">
      <w:pPr>
        <w:pStyle w:val="ListParagraph"/>
        <w:numPr>
          <w:ilvl w:val="0"/>
          <w:numId w:val="5"/>
        </w:numPr>
        <w:jc w:val="both"/>
      </w:pPr>
      <w:r>
        <w:t>Institutions should use analytics responsibly in efforts related to the success of individual students</w:t>
      </w:r>
      <w:r w:rsidR="00906EF5">
        <w:t xml:space="preserve">, various </w:t>
      </w:r>
      <w:r w:rsidR="00E52DB1">
        <w:t>subpopulations</w:t>
      </w:r>
      <w:r>
        <w:t xml:space="preserve"> and the institution’s broader mission. Responsible use includes </w:t>
      </w:r>
      <w:r w:rsidR="00906EF5">
        <w:t xml:space="preserve">carefully crafted, thorough </w:t>
      </w:r>
      <w:r>
        <w:t>training related to data and interpretation of results.</w:t>
      </w:r>
      <w:r w:rsidR="00206608">
        <w:t xml:space="preserve">  When possible, data should be shared in aggregate form </w:t>
      </w:r>
      <w:r w:rsidR="00E52DB1">
        <w:t>to minimize the</w:t>
      </w:r>
      <w:r w:rsidR="00113778">
        <w:t xml:space="preserve"> </w:t>
      </w:r>
      <w:r w:rsidR="00206608">
        <w:t>sharing of files</w:t>
      </w:r>
      <w:r w:rsidR="00E52DB1">
        <w:t xml:space="preserve"> that contain personally identifiable information</w:t>
      </w:r>
      <w:r w:rsidR="00206608">
        <w:t xml:space="preserve">.  </w:t>
      </w:r>
      <w:r>
        <w:t xml:space="preserve">  </w:t>
      </w:r>
      <w:r w:rsidR="00370A49">
        <w:t xml:space="preserve"> </w:t>
      </w:r>
    </w:p>
    <w:p w14:paraId="0D6158E4" w14:textId="36C4C5ED" w:rsidR="00F74D7E" w:rsidRDefault="00B42C63" w:rsidP="00884BB1">
      <w:pPr>
        <w:pStyle w:val="ListParagraph"/>
        <w:numPr>
          <w:ilvl w:val="0"/>
          <w:numId w:val="5"/>
        </w:numPr>
        <w:jc w:val="both"/>
      </w:pPr>
      <w:r>
        <w:t>Institutions have an obligation to share results from research projects with their campus community to inform programs, services, and curriculum.  They also have an obligation to share findings with the higher education community at large in order to further the scholarship related to teaching, learning, and student success.</w:t>
      </w:r>
      <w:r w:rsidR="003534DB">
        <w:t xml:space="preserve"> They should work with their IRBs to develop approaches that enable such contributions to</w:t>
      </w:r>
      <w:r w:rsidR="009F25F7">
        <w:t xml:space="preserve"> this</w:t>
      </w:r>
      <w:r w:rsidR="003534DB">
        <w:t xml:space="preserve"> knowledge </w:t>
      </w:r>
      <w:r w:rsidR="009F25F7">
        <w:t xml:space="preserve">base </w:t>
      </w:r>
      <w:r w:rsidR="003534DB">
        <w:t>while working within federal guidelines for the conduct of research involving human subjects.</w:t>
      </w:r>
    </w:p>
    <w:p w14:paraId="6A9BCA8A" w14:textId="77777777" w:rsidR="006F2AFA" w:rsidRDefault="006F2AFA" w:rsidP="003C3003">
      <w:pPr>
        <w:jc w:val="both"/>
      </w:pPr>
    </w:p>
    <w:p w14:paraId="3E46494C" w14:textId="77777777" w:rsidR="00B75EAC" w:rsidRDefault="00B75EAC" w:rsidP="003C3003">
      <w:pPr>
        <w:jc w:val="both"/>
        <w:rPr>
          <w:u w:val="single"/>
        </w:rPr>
      </w:pPr>
    </w:p>
    <w:p w14:paraId="75B5F44F" w14:textId="446F0DBF" w:rsidR="00BC09BE" w:rsidRDefault="00231C4F" w:rsidP="003C3003">
      <w:pPr>
        <w:jc w:val="both"/>
      </w:pPr>
      <w:r>
        <w:rPr>
          <w:u w:val="single"/>
        </w:rPr>
        <w:lastRenderedPageBreak/>
        <w:t>Conclusion</w:t>
      </w:r>
    </w:p>
    <w:p w14:paraId="736F3D16" w14:textId="14DBCBCE" w:rsidR="00231C4F" w:rsidRPr="00231C4F" w:rsidRDefault="00231C4F" w:rsidP="003C3003">
      <w:pPr>
        <w:jc w:val="both"/>
      </w:pPr>
      <w:r>
        <w:t xml:space="preserve">The landscape of higher education is changing dramatically as the digital age advances.  Certainly, data is more accessible.  As institutions plan their analytics initiatives/projects there are many issues to consider.  The current white paper highlights some of those issues and provides suggestions for how institutions might manage them.  Above all, it is imperative that we move forward from a utilitarian and ethical framework that values students’ rights and focuses on their potential to </w:t>
      </w:r>
      <w:r w:rsidR="0038704C">
        <w:t>succeed</w:t>
      </w:r>
      <w:r>
        <w:t xml:space="preserve"> in higher education.</w:t>
      </w:r>
    </w:p>
    <w:p w14:paraId="5FBA9C7E" w14:textId="77777777" w:rsidR="003F7DBA" w:rsidRDefault="003F7DBA" w:rsidP="003C3003">
      <w:pPr>
        <w:jc w:val="both"/>
        <w:rPr>
          <w:u w:val="single"/>
        </w:rPr>
      </w:pPr>
    </w:p>
    <w:p w14:paraId="151286EF" w14:textId="77777777" w:rsidR="003F7DBA" w:rsidRDefault="003F7DBA" w:rsidP="003C3003">
      <w:pPr>
        <w:jc w:val="both"/>
        <w:rPr>
          <w:u w:val="single"/>
        </w:rPr>
      </w:pPr>
    </w:p>
    <w:p w14:paraId="4B13D4C9" w14:textId="77777777" w:rsidR="004D0A65" w:rsidRDefault="004D0A65" w:rsidP="003C3003">
      <w:pPr>
        <w:jc w:val="both"/>
        <w:rPr>
          <w:u w:val="single"/>
        </w:rPr>
      </w:pPr>
    </w:p>
    <w:p w14:paraId="3DED1518" w14:textId="77777777" w:rsidR="009F25F7" w:rsidRDefault="009F25F7">
      <w:pPr>
        <w:spacing w:after="160" w:line="259" w:lineRule="auto"/>
        <w:rPr>
          <w:u w:val="single"/>
        </w:rPr>
      </w:pPr>
      <w:r>
        <w:rPr>
          <w:u w:val="single"/>
        </w:rPr>
        <w:br w:type="page"/>
      </w:r>
    </w:p>
    <w:p w14:paraId="606A7548" w14:textId="7EF2A691" w:rsidR="00E53CCB" w:rsidRPr="00206608" w:rsidRDefault="00206608" w:rsidP="003C3003">
      <w:pPr>
        <w:jc w:val="both"/>
        <w:rPr>
          <w:u w:val="single"/>
        </w:rPr>
      </w:pPr>
      <w:r w:rsidRPr="00206608">
        <w:rPr>
          <w:u w:val="single"/>
        </w:rPr>
        <w:lastRenderedPageBreak/>
        <w:t>References</w:t>
      </w:r>
    </w:p>
    <w:p w14:paraId="6F222B49" w14:textId="77777777" w:rsidR="00206608" w:rsidRDefault="00206608" w:rsidP="003C3003">
      <w:pPr>
        <w:jc w:val="both"/>
      </w:pPr>
      <w:r>
        <w:t xml:space="preserve">The Asilomar Convention for Learning Research in Higher Education. (2015, October 19). Retrieved from </w:t>
      </w:r>
      <w:hyperlink r:id="rId9" w:history="1">
        <w:r w:rsidRPr="00306E45">
          <w:rPr>
            <w:rStyle w:val="Hyperlink"/>
          </w:rPr>
          <w:t>http://asilomar-highered.info/</w:t>
        </w:r>
      </w:hyperlink>
      <w:r w:rsidR="00986740">
        <w:t xml:space="preserve"> </w:t>
      </w:r>
    </w:p>
    <w:p w14:paraId="0CE39173" w14:textId="77777777" w:rsidR="00206608" w:rsidRDefault="00206608" w:rsidP="003C3003">
      <w:pPr>
        <w:jc w:val="both"/>
      </w:pPr>
    </w:p>
    <w:p w14:paraId="114F9B0F" w14:textId="77777777" w:rsidR="00932A77" w:rsidRDefault="00932A77" w:rsidP="00932A77">
      <w:r>
        <w:t xml:space="preserve">The Code of Federal Regulation (2009, January 15). Retrieved from </w:t>
      </w:r>
      <w:hyperlink r:id="rId10" w:anchor="46.101" w:history="1">
        <w:r w:rsidRPr="005F7913">
          <w:rPr>
            <w:rStyle w:val="Hyperlink"/>
          </w:rPr>
          <w:t>http://www.hhs.gov/ohrp/humansubjects/guidance/45cfr46.html#46.101</w:t>
        </w:r>
      </w:hyperlink>
    </w:p>
    <w:p w14:paraId="35FC3D5B" w14:textId="77777777" w:rsidR="00932A77" w:rsidRDefault="00932A77" w:rsidP="00932A77">
      <w:pPr>
        <w:jc w:val="both"/>
      </w:pPr>
    </w:p>
    <w:p w14:paraId="28CA9AA9" w14:textId="77777777" w:rsidR="00932A77" w:rsidRDefault="00932A77" w:rsidP="00932A77">
      <w:pPr>
        <w:jc w:val="both"/>
      </w:pPr>
      <w:r>
        <w:t>Slade, Sharon and Prinsloo, Paul (2013). Learning analytics: ethical issues and dilemmas. American</w:t>
      </w:r>
    </w:p>
    <w:p w14:paraId="7F9C0D9F" w14:textId="77777777" w:rsidR="00932A77" w:rsidRDefault="00932A77" w:rsidP="00932A77">
      <w:pPr>
        <w:jc w:val="both"/>
      </w:pPr>
      <w:r>
        <w:t>Behavioral Scientist, 57(10) pp. 1509–1528.</w:t>
      </w:r>
    </w:p>
    <w:p w14:paraId="20C390DD" w14:textId="77777777" w:rsidR="00932A77" w:rsidRDefault="00932A77" w:rsidP="003C3003">
      <w:pPr>
        <w:jc w:val="both"/>
      </w:pPr>
    </w:p>
    <w:p w14:paraId="09992AC2" w14:textId="77777777" w:rsidR="00E53CCB" w:rsidRDefault="00206608" w:rsidP="003C3003">
      <w:pPr>
        <w:jc w:val="both"/>
      </w:pPr>
      <w:r>
        <w:t xml:space="preserve">Willis, J. E. (2015, October 19). Learning Analytics and Ethics: A Framework beyond Utilitarianism [web document]. Retrieved from </w:t>
      </w:r>
      <w:hyperlink r:id="rId11" w:history="1">
        <w:r w:rsidRPr="00306E45">
          <w:rPr>
            <w:rStyle w:val="Hyperlink"/>
          </w:rPr>
          <w:t>http://er.educause.edu/articles/2014/8/learning-analytics-and-ethics-a-framework-beyond-utilitarianism</w:t>
        </w:r>
      </w:hyperlink>
      <w:r w:rsidR="00986740">
        <w:t xml:space="preserve"> </w:t>
      </w:r>
    </w:p>
    <w:p w14:paraId="5409F7FE" w14:textId="77777777" w:rsidR="00206608" w:rsidRDefault="00206608" w:rsidP="003C3003">
      <w:pPr>
        <w:jc w:val="both"/>
      </w:pPr>
    </w:p>
    <w:p w14:paraId="1D7BA8DC" w14:textId="77777777" w:rsidR="00206608" w:rsidRDefault="00206608" w:rsidP="003C3003">
      <w:pPr>
        <w:jc w:val="both"/>
      </w:pPr>
    </w:p>
    <w:p w14:paraId="2C09D4BE" w14:textId="77777777" w:rsidR="007116F2" w:rsidRDefault="007116F2" w:rsidP="003C3003">
      <w:pPr>
        <w:jc w:val="both"/>
      </w:pPr>
    </w:p>
    <w:p w14:paraId="1033482E" w14:textId="77777777" w:rsidR="00212511" w:rsidRDefault="00212511" w:rsidP="003C3003">
      <w:pPr>
        <w:jc w:val="both"/>
      </w:pPr>
    </w:p>
    <w:sectPr w:rsidR="002125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97A47" w14:textId="77777777" w:rsidR="00763475" w:rsidRDefault="00763475" w:rsidP="00097239">
      <w:r>
        <w:separator/>
      </w:r>
    </w:p>
  </w:endnote>
  <w:endnote w:type="continuationSeparator" w:id="0">
    <w:p w14:paraId="74EAC9E9" w14:textId="77777777" w:rsidR="00763475" w:rsidRDefault="00763475" w:rsidP="0009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52866"/>
      <w:docPartObj>
        <w:docPartGallery w:val="Page Numbers (Bottom of Page)"/>
        <w:docPartUnique/>
      </w:docPartObj>
    </w:sdtPr>
    <w:sdtEndPr>
      <w:rPr>
        <w:noProof/>
      </w:rPr>
    </w:sdtEndPr>
    <w:sdtContent>
      <w:p w14:paraId="018C9882" w14:textId="25E3949D" w:rsidR="006012A8" w:rsidRDefault="006012A8">
        <w:pPr>
          <w:pStyle w:val="Footer"/>
          <w:jc w:val="right"/>
        </w:pPr>
        <w:r>
          <w:fldChar w:fldCharType="begin"/>
        </w:r>
        <w:r>
          <w:instrText xml:space="preserve"> PAGE   \* MERGEFORMAT </w:instrText>
        </w:r>
        <w:r>
          <w:fldChar w:fldCharType="separate"/>
        </w:r>
        <w:r w:rsidR="006F5F3B">
          <w:rPr>
            <w:noProof/>
          </w:rPr>
          <w:t>2</w:t>
        </w:r>
        <w:r>
          <w:rPr>
            <w:noProof/>
          </w:rPr>
          <w:fldChar w:fldCharType="end"/>
        </w:r>
      </w:p>
    </w:sdtContent>
  </w:sdt>
  <w:p w14:paraId="3B514977" w14:textId="77777777" w:rsidR="006012A8" w:rsidRDefault="00601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D867" w14:textId="77777777" w:rsidR="00763475" w:rsidRDefault="00763475" w:rsidP="00097239">
      <w:r>
        <w:separator/>
      </w:r>
    </w:p>
  </w:footnote>
  <w:footnote w:type="continuationSeparator" w:id="0">
    <w:p w14:paraId="4F08F4BC" w14:textId="77777777" w:rsidR="00763475" w:rsidRDefault="00763475" w:rsidP="00097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DC53" w14:textId="7A125360" w:rsidR="00A56E82" w:rsidRDefault="00A56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363B"/>
    <w:multiLevelType w:val="hybridMultilevel"/>
    <w:tmpl w:val="768C539C"/>
    <w:lvl w:ilvl="0" w:tplc="CA42F1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29C1"/>
    <w:multiLevelType w:val="hybridMultilevel"/>
    <w:tmpl w:val="084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B5CCD"/>
    <w:multiLevelType w:val="hybridMultilevel"/>
    <w:tmpl w:val="FBEC4A70"/>
    <w:lvl w:ilvl="0" w:tplc="63E6E4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D2B00"/>
    <w:multiLevelType w:val="hybridMultilevel"/>
    <w:tmpl w:val="1516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B2182"/>
    <w:multiLevelType w:val="hybridMultilevel"/>
    <w:tmpl w:val="6D548A04"/>
    <w:lvl w:ilvl="0" w:tplc="A34E6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65"/>
    <w:rsid w:val="00005C97"/>
    <w:rsid w:val="000128E0"/>
    <w:rsid w:val="00021A85"/>
    <w:rsid w:val="0003110A"/>
    <w:rsid w:val="00034C71"/>
    <w:rsid w:val="000411EE"/>
    <w:rsid w:val="000541D8"/>
    <w:rsid w:val="0005571D"/>
    <w:rsid w:val="00060F27"/>
    <w:rsid w:val="000655D2"/>
    <w:rsid w:val="00074DB9"/>
    <w:rsid w:val="0008694D"/>
    <w:rsid w:val="000959B4"/>
    <w:rsid w:val="00097239"/>
    <w:rsid w:val="000A25E5"/>
    <w:rsid w:val="000A7D44"/>
    <w:rsid w:val="000B16F0"/>
    <w:rsid w:val="000B7EAF"/>
    <w:rsid w:val="000C36B5"/>
    <w:rsid w:val="000C7D36"/>
    <w:rsid w:val="000D6E7E"/>
    <w:rsid w:val="001045A7"/>
    <w:rsid w:val="00113778"/>
    <w:rsid w:val="00130B71"/>
    <w:rsid w:val="00141974"/>
    <w:rsid w:val="001425ED"/>
    <w:rsid w:val="00163321"/>
    <w:rsid w:val="00196D0B"/>
    <w:rsid w:val="001A19F9"/>
    <w:rsid w:val="001A1FA0"/>
    <w:rsid w:val="001B2D4D"/>
    <w:rsid w:val="001D0431"/>
    <w:rsid w:val="001D1CA5"/>
    <w:rsid w:val="001D6947"/>
    <w:rsid w:val="001F371C"/>
    <w:rsid w:val="001F5834"/>
    <w:rsid w:val="00203206"/>
    <w:rsid w:val="00206608"/>
    <w:rsid w:val="00211EE9"/>
    <w:rsid w:val="00212511"/>
    <w:rsid w:val="00222FFF"/>
    <w:rsid w:val="00231C4F"/>
    <w:rsid w:val="00235068"/>
    <w:rsid w:val="00241FD1"/>
    <w:rsid w:val="00262933"/>
    <w:rsid w:val="00266327"/>
    <w:rsid w:val="00266CEE"/>
    <w:rsid w:val="0027699C"/>
    <w:rsid w:val="002A77F4"/>
    <w:rsid w:val="002B1E29"/>
    <w:rsid w:val="002C53E2"/>
    <w:rsid w:val="002D5604"/>
    <w:rsid w:val="002F33BF"/>
    <w:rsid w:val="003119A3"/>
    <w:rsid w:val="00353251"/>
    <w:rsid w:val="003534DB"/>
    <w:rsid w:val="00367126"/>
    <w:rsid w:val="00370A49"/>
    <w:rsid w:val="00375978"/>
    <w:rsid w:val="0038704C"/>
    <w:rsid w:val="003A15EF"/>
    <w:rsid w:val="003A15F1"/>
    <w:rsid w:val="003B50C4"/>
    <w:rsid w:val="003B6F65"/>
    <w:rsid w:val="003C3003"/>
    <w:rsid w:val="003D4E14"/>
    <w:rsid w:val="003E260E"/>
    <w:rsid w:val="003E4A2B"/>
    <w:rsid w:val="003F7DBA"/>
    <w:rsid w:val="00402467"/>
    <w:rsid w:val="00407F87"/>
    <w:rsid w:val="00424D2C"/>
    <w:rsid w:val="0043101B"/>
    <w:rsid w:val="00461DE5"/>
    <w:rsid w:val="004808F4"/>
    <w:rsid w:val="004836F6"/>
    <w:rsid w:val="0048604C"/>
    <w:rsid w:val="004A0627"/>
    <w:rsid w:val="004B16D7"/>
    <w:rsid w:val="004B18F8"/>
    <w:rsid w:val="004B68A4"/>
    <w:rsid w:val="004D0A65"/>
    <w:rsid w:val="004F1FD9"/>
    <w:rsid w:val="00542C52"/>
    <w:rsid w:val="0054710B"/>
    <w:rsid w:val="005508D4"/>
    <w:rsid w:val="00555517"/>
    <w:rsid w:val="0059278E"/>
    <w:rsid w:val="00593597"/>
    <w:rsid w:val="005B2C3C"/>
    <w:rsid w:val="005B75E4"/>
    <w:rsid w:val="005C2918"/>
    <w:rsid w:val="005C40E4"/>
    <w:rsid w:val="005C4F88"/>
    <w:rsid w:val="005F6572"/>
    <w:rsid w:val="006012A8"/>
    <w:rsid w:val="00644E05"/>
    <w:rsid w:val="006536B7"/>
    <w:rsid w:val="00653703"/>
    <w:rsid w:val="006603D9"/>
    <w:rsid w:val="006720A1"/>
    <w:rsid w:val="00687957"/>
    <w:rsid w:val="0069720C"/>
    <w:rsid w:val="006972DD"/>
    <w:rsid w:val="006A1934"/>
    <w:rsid w:val="006C3A6E"/>
    <w:rsid w:val="006E3CEA"/>
    <w:rsid w:val="006F2AFA"/>
    <w:rsid w:val="006F5F3B"/>
    <w:rsid w:val="006F722E"/>
    <w:rsid w:val="0070793D"/>
    <w:rsid w:val="007116F2"/>
    <w:rsid w:val="007222BC"/>
    <w:rsid w:val="007228D8"/>
    <w:rsid w:val="007442C1"/>
    <w:rsid w:val="007519FD"/>
    <w:rsid w:val="00757C1D"/>
    <w:rsid w:val="00761994"/>
    <w:rsid w:val="00761F17"/>
    <w:rsid w:val="00763475"/>
    <w:rsid w:val="00790EB4"/>
    <w:rsid w:val="00793DC7"/>
    <w:rsid w:val="007C050B"/>
    <w:rsid w:val="007C0D23"/>
    <w:rsid w:val="007D08CA"/>
    <w:rsid w:val="007D1851"/>
    <w:rsid w:val="007D4EE4"/>
    <w:rsid w:val="00805DC0"/>
    <w:rsid w:val="00811F9A"/>
    <w:rsid w:val="00813AAB"/>
    <w:rsid w:val="008344CE"/>
    <w:rsid w:val="008422EB"/>
    <w:rsid w:val="00843621"/>
    <w:rsid w:val="00864018"/>
    <w:rsid w:val="00884BB1"/>
    <w:rsid w:val="008936E1"/>
    <w:rsid w:val="008D1CC0"/>
    <w:rsid w:val="008F6504"/>
    <w:rsid w:val="008F7D3F"/>
    <w:rsid w:val="00906EF5"/>
    <w:rsid w:val="0092599E"/>
    <w:rsid w:val="00932A77"/>
    <w:rsid w:val="0093453A"/>
    <w:rsid w:val="00962832"/>
    <w:rsid w:val="00970F87"/>
    <w:rsid w:val="00971C2A"/>
    <w:rsid w:val="00981FBA"/>
    <w:rsid w:val="00986740"/>
    <w:rsid w:val="00991FCD"/>
    <w:rsid w:val="00993305"/>
    <w:rsid w:val="009A2AA3"/>
    <w:rsid w:val="009A4184"/>
    <w:rsid w:val="009C2815"/>
    <w:rsid w:val="009C5D35"/>
    <w:rsid w:val="009D66BD"/>
    <w:rsid w:val="009F25F7"/>
    <w:rsid w:val="009F75F2"/>
    <w:rsid w:val="00A22989"/>
    <w:rsid w:val="00A310B8"/>
    <w:rsid w:val="00A45066"/>
    <w:rsid w:val="00A56E82"/>
    <w:rsid w:val="00A61DBA"/>
    <w:rsid w:val="00AC645D"/>
    <w:rsid w:val="00AD11EB"/>
    <w:rsid w:val="00AD48A0"/>
    <w:rsid w:val="00AE03F8"/>
    <w:rsid w:val="00AF660F"/>
    <w:rsid w:val="00AF67FE"/>
    <w:rsid w:val="00B3304D"/>
    <w:rsid w:val="00B42C63"/>
    <w:rsid w:val="00B474B7"/>
    <w:rsid w:val="00B57A0F"/>
    <w:rsid w:val="00B60BFE"/>
    <w:rsid w:val="00B75EAC"/>
    <w:rsid w:val="00BA0954"/>
    <w:rsid w:val="00BB1FBB"/>
    <w:rsid w:val="00BB4253"/>
    <w:rsid w:val="00BC09BE"/>
    <w:rsid w:val="00BC3167"/>
    <w:rsid w:val="00BD2A13"/>
    <w:rsid w:val="00BF635F"/>
    <w:rsid w:val="00C04E46"/>
    <w:rsid w:val="00C10523"/>
    <w:rsid w:val="00C27CF5"/>
    <w:rsid w:val="00C679C9"/>
    <w:rsid w:val="00C70760"/>
    <w:rsid w:val="00C84B98"/>
    <w:rsid w:val="00C90FFC"/>
    <w:rsid w:val="00C93274"/>
    <w:rsid w:val="00C97087"/>
    <w:rsid w:val="00CA0BA3"/>
    <w:rsid w:val="00CC64C0"/>
    <w:rsid w:val="00CE0B8B"/>
    <w:rsid w:val="00CE5751"/>
    <w:rsid w:val="00CF603C"/>
    <w:rsid w:val="00D07706"/>
    <w:rsid w:val="00D53694"/>
    <w:rsid w:val="00D54709"/>
    <w:rsid w:val="00D54A64"/>
    <w:rsid w:val="00D944EB"/>
    <w:rsid w:val="00D97BFC"/>
    <w:rsid w:val="00DA5D90"/>
    <w:rsid w:val="00DC2E72"/>
    <w:rsid w:val="00DC65F2"/>
    <w:rsid w:val="00E14E7B"/>
    <w:rsid w:val="00E27EE9"/>
    <w:rsid w:val="00E363F9"/>
    <w:rsid w:val="00E52DB1"/>
    <w:rsid w:val="00E53CCB"/>
    <w:rsid w:val="00E73281"/>
    <w:rsid w:val="00E90F4A"/>
    <w:rsid w:val="00EC6F4F"/>
    <w:rsid w:val="00ED3027"/>
    <w:rsid w:val="00EF1DAA"/>
    <w:rsid w:val="00F06DBC"/>
    <w:rsid w:val="00F242FD"/>
    <w:rsid w:val="00F414B9"/>
    <w:rsid w:val="00F57C2E"/>
    <w:rsid w:val="00F74D7E"/>
    <w:rsid w:val="00F83726"/>
    <w:rsid w:val="00F90B60"/>
    <w:rsid w:val="00F94332"/>
    <w:rsid w:val="00FA3C64"/>
    <w:rsid w:val="00FC4BC0"/>
    <w:rsid w:val="00FD2A4C"/>
    <w:rsid w:val="00FD2CFB"/>
    <w:rsid w:val="00FD501F"/>
    <w:rsid w:val="00FE2AE0"/>
    <w:rsid w:val="00FF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8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8E"/>
    <w:rPr>
      <w:color w:val="0563C1"/>
      <w:u w:val="single"/>
    </w:rPr>
  </w:style>
  <w:style w:type="character" w:styleId="FollowedHyperlink">
    <w:name w:val="FollowedHyperlink"/>
    <w:basedOn w:val="DefaultParagraphFont"/>
    <w:uiPriority w:val="99"/>
    <w:semiHidden/>
    <w:unhideWhenUsed/>
    <w:rsid w:val="00262933"/>
    <w:rPr>
      <w:color w:val="954F72" w:themeColor="followedHyperlink"/>
      <w:u w:val="single"/>
    </w:rPr>
  </w:style>
  <w:style w:type="character" w:styleId="CommentReference">
    <w:name w:val="annotation reference"/>
    <w:basedOn w:val="DefaultParagraphFont"/>
    <w:uiPriority w:val="99"/>
    <w:semiHidden/>
    <w:unhideWhenUsed/>
    <w:rsid w:val="00262933"/>
    <w:rPr>
      <w:sz w:val="16"/>
      <w:szCs w:val="16"/>
    </w:rPr>
  </w:style>
  <w:style w:type="paragraph" w:styleId="CommentText">
    <w:name w:val="annotation text"/>
    <w:basedOn w:val="Normal"/>
    <w:link w:val="CommentTextChar"/>
    <w:uiPriority w:val="99"/>
    <w:semiHidden/>
    <w:unhideWhenUsed/>
    <w:rsid w:val="00262933"/>
    <w:rPr>
      <w:sz w:val="20"/>
      <w:szCs w:val="20"/>
    </w:rPr>
  </w:style>
  <w:style w:type="character" w:customStyle="1" w:styleId="CommentTextChar">
    <w:name w:val="Comment Text Char"/>
    <w:basedOn w:val="DefaultParagraphFont"/>
    <w:link w:val="CommentText"/>
    <w:uiPriority w:val="99"/>
    <w:semiHidden/>
    <w:rsid w:val="00262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2933"/>
    <w:rPr>
      <w:b/>
      <w:bCs/>
    </w:rPr>
  </w:style>
  <w:style w:type="character" w:customStyle="1" w:styleId="CommentSubjectChar">
    <w:name w:val="Comment Subject Char"/>
    <w:basedOn w:val="CommentTextChar"/>
    <w:link w:val="CommentSubject"/>
    <w:uiPriority w:val="99"/>
    <w:semiHidden/>
    <w:rsid w:val="002629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33"/>
    <w:rPr>
      <w:rFonts w:ascii="Segoe UI" w:eastAsia="Calibri" w:hAnsi="Segoe UI" w:cs="Segoe UI"/>
      <w:sz w:val="18"/>
      <w:szCs w:val="18"/>
    </w:rPr>
  </w:style>
  <w:style w:type="paragraph" w:styleId="ListParagraph">
    <w:name w:val="List Paragraph"/>
    <w:basedOn w:val="Normal"/>
    <w:uiPriority w:val="34"/>
    <w:qFormat/>
    <w:rsid w:val="00E90F4A"/>
    <w:pPr>
      <w:ind w:left="720"/>
      <w:contextualSpacing/>
    </w:pPr>
  </w:style>
  <w:style w:type="paragraph" w:styleId="Header">
    <w:name w:val="header"/>
    <w:basedOn w:val="Normal"/>
    <w:link w:val="HeaderChar"/>
    <w:uiPriority w:val="99"/>
    <w:unhideWhenUsed/>
    <w:rsid w:val="00097239"/>
    <w:pPr>
      <w:tabs>
        <w:tab w:val="center" w:pos="4680"/>
        <w:tab w:val="right" w:pos="9360"/>
      </w:tabs>
    </w:pPr>
  </w:style>
  <w:style w:type="character" w:customStyle="1" w:styleId="HeaderChar">
    <w:name w:val="Header Char"/>
    <w:basedOn w:val="DefaultParagraphFont"/>
    <w:link w:val="Header"/>
    <w:uiPriority w:val="99"/>
    <w:rsid w:val="00097239"/>
    <w:rPr>
      <w:rFonts w:ascii="Calibri" w:eastAsia="Calibri" w:hAnsi="Calibri" w:cs="Times New Roman"/>
    </w:rPr>
  </w:style>
  <w:style w:type="paragraph" w:styleId="Footer">
    <w:name w:val="footer"/>
    <w:basedOn w:val="Normal"/>
    <w:link w:val="FooterChar"/>
    <w:uiPriority w:val="99"/>
    <w:unhideWhenUsed/>
    <w:rsid w:val="00097239"/>
    <w:pPr>
      <w:tabs>
        <w:tab w:val="center" w:pos="4680"/>
        <w:tab w:val="right" w:pos="9360"/>
      </w:tabs>
    </w:pPr>
  </w:style>
  <w:style w:type="character" w:customStyle="1" w:styleId="FooterChar">
    <w:name w:val="Footer Char"/>
    <w:basedOn w:val="DefaultParagraphFont"/>
    <w:link w:val="Footer"/>
    <w:uiPriority w:val="99"/>
    <w:rsid w:val="000972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8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8E"/>
    <w:rPr>
      <w:color w:val="0563C1"/>
      <w:u w:val="single"/>
    </w:rPr>
  </w:style>
  <w:style w:type="character" w:styleId="FollowedHyperlink">
    <w:name w:val="FollowedHyperlink"/>
    <w:basedOn w:val="DefaultParagraphFont"/>
    <w:uiPriority w:val="99"/>
    <w:semiHidden/>
    <w:unhideWhenUsed/>
    <w:rsid w:val="00262933"/>
    <w:rPr>
      <w:color w:val="954F72" w:themeColor="followedHyperlink"/>
      <w:u w:val="single"/>
    </w:rPr>
  </w:style>
  <w:style w:type="character" w:styleId="CommentReference">
    <w:name w:val="annotation reference"/>
    <w:basedOn w:val="DefaultParagraphFont"/>
    <w:uiPriority w:val="99"/>
    <w:semiHidden/>
    <w:unhideWhenUsed/>
    <w:rsid w:val="00262933"/>
    <w:rPr>
      <w:sz w:val="16"/>
      <w:szCs w:val="16"/>
    </w:rPr>
  </w:style>
  <w:style w:type="paragraph" w:styleId="CommentText">
    <w:name w:val="annotation text"/>
    <w:basedOn w:val="Normal"/>
    <w:link w:val="CommentTextChar"/>
    <w:uiPriority w:val="99"/>
    <w:semiHidden/>
    <w:unhideWhenUsed/>
    <w:rsid w:val="00262933"/>
    <w:rPr>
      <w:sz w:val="20"/>
      <w:szCs w:val="20"/>
    </w:rPr>
  </w:style>
  <w:style w:type="character" w:customStyle="1" w:styleId="CommentTextChar">
    <w:name w:val="Comment Text Char"/>
    <w:basedOn w:val="DefaultParagraphFont"/>
    <w:link w:val="CommentText"/>
    <w:uiPriority w:val="99"/>
    <w:semiHidden/>
    <w:rsid w:val="00262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2933"/>
    <w:rPr>
      <w:b/>
      <w:bCs/>
    </w:rPr>
  </w:style>
  <w:style w:type="character" w:customStyle="1" w:styleId="CommentSubjectChar">
    <w:name w:val="Comment Subject Char"/>
    <w:basedOn w:val="CommentTextChar"/>
    <w:link w:val="CommentSubject"/>
    <w:uiPriority w:val="99"/>
    <w:semiHidden/>
    <w:rsid w:val="002629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33"/>
    <w:rPr>
      <w:rFonts w:ascii="Segoe UI" w:eastAsia="Calibri" w:hAnsi="Segoe UI" w:cs="Segoe UI"/>
      <w:sz w:val="18"/>
      <w:szCs w:val="18"/>
    </w:rPr>
  </w:style>
  <w:style w:type="paragraph" w:styleId="ListParagraph">
    <w:name w:val="List Paragraph"/>
    <w:basedOn w:val="Normal"/>
    <w:uiPriority w:val="34"/>
    <w:qFormat/>
    <w:rsid w:val="00E90F4A"/>
    <w:pPr>
      <w:ind w:left="720"/>
      <w:contextualSpacing/>
    </w:pPr>
  </w:style>
  <w:style w:type="paragraph" w:styleId="Header">
    <w:name w:val="header"/>
    <w:basedOn w:val="Normal"/>
    <w:link w:val="HeaderChar"/>
    <w:uiPriority w:val="99"/>
    <w:unhideWhenUsed/>
    <w:rsid w:val="00097239"/>
    <w:pPr>
      <w:tabs>
        <w:tab w:val="center" w:pos="4680"/>
        <w:tab w:val="right" w:pos="9360"/>
      </w:tabs>
    </w:pPr>
  </w:style>
  <w:style w:type="character" w:customStyle="1" w:styleId="HeaderChar">
    <w:name w:val="Header Char"/>
    <w:basedOn w:val="DefaultParagraphFont"/>
    <w:link w:val="Header"/>
    <w:uiPriority w:val="99"/>
    <w:rsid w:val="00097239"/>
    <w:rPr>
      <w:rFonts w:ascii="Calibri" w:eastAsia="Calibri" w:hAnsi="Calibri" w:cs="Times New Roman"/>
    </w:rPr>
  </w:style>
  <w:style w:type="paragraph" w:styleId="Footer">
    <w:name w:val="footer"/>
    <w:basedOn w:val="Normal"/>
    <w:link w:val="FooterChar"/>
    <w:uiPriority w:val="99"/>
    <w:unhideWhenUsed/>
    <w:rsid w:val="00097239"/>
    <w:pPr>
      <w:tabs>
        <w:tab w:val="center" w:pos="4680"/>
        <w:tab w:val="right" w:pos="9360"/>
      </w:tabs>
    </w:pPr>
  </w:style>
  <w:style w:type="character" w:customStyle="1" w:styleId="FooterChar">
    <w:name w:val="Footer Char"/>
    <w:basedOn w:val="DefaultParagraphFont"/>
    <w:link w:val="Footer"/>
    <w:uiPriority w:val="99"/>
    <w:rsid w:val="000972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educause.edu/articles/2014/8/learning-analytics-and-ethics-a-framework-beyond-utilitarianis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hyperlink" Target="http://asilomar-highered.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643E-CC71-4DB6-AA01-5D1C4FA2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US Education Delivery Institute</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Jensen,Laura</dc:creator>
  <cp:lastModifiedBy>Rebecca Martin</cp:lastModifiedBy>
  <cp:revision>2</cp:revision>
  <dcterms:created xsi:type="dcterms:W3CDTF">2016-10-06T19:20:00Z</dcterms:created>
  <dcterms:modified xsi:type="dcterms:W3CDTF">2016-10-06T19:20:00Z</dcterms:modified>
</cp:coreProperties>
</file>